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7FC7FB">
      <w:pPr>
        <w:spacing w:line="570" w:lineRule="exact"/>
        <w:rPr>
          <w:rFonts w:ascii="Times New Roman" w:hAnsi="Times New Roman"/>
          <w:color w:val="000000"/>
          <w:szCs w:val="32"/>
        </w:rPr>
      </w:pPr>
    </w:p>
    <w:p w14:paraId="01491CC0">
      <w:pPr>
        <w:spacing w:line="570" w:lineRule="exact"/>
        <w:rPr>
          <w:rFonts w:ascii="Times New Roman" w:hAnsi="Times New Roman"/>
          <w:color w:val="000000"/>
          <w:szCs w:val="32"/>
        </w:rPr>
      </w:pPr>
      <w:r>
        <w:rPr>
          <w:rFonts w:ascii="Times New Roman" w:hAnsi="Times New Roman"/>
          <w:color w:val="000000"/>
          <w:szCs w:val="32"/>
        </w:rPr>
        <w:pict>
          <v:shape id="_x0000_s1026" o:spid="_x0000_s1026" o:spt="136" type="#_x0000_t136" style="position:absolute;left:0pt;margin-left:93.5pt;margin-top:48.95pt;height:66.6pt;width:411pt;mso-position-horizontal-relative:page;mso-position-vertical-relative:margin;z-index:251661312;mso-width-relative:page;mso-height-relative:page;" fillcolor="#FF0000" filled="t" stroked="f" coordsize="21600,21600">
            <v:path/>
            <v:fill on="t" focussize="0,0"/>
            <v:stroke on="f"/>
            <v:imagedata o:title=""/>
            <o:lock v:ext="edit" text="f"/>
            <v:textpath on="t" fitshape="t" fitpath="t" trim="t" xscale="f" string="丰都县人民政府办公室" style="font-family:方正小标宋_GBK;font-size:36pt;font-weight:bold;v-text-align:center;"/>
          </v:shape>
        </w:pict>
      </w:r>
    </w:p>
    <w:p w14:paraId="5FCBD9C3">
      <w:pPr>
        <w:spacing w:line="570" w:lineRule="exact"/>
        <w:rPr>
          <w:rFonts w:ascii="Times New Roman" w:hAnsi="Times New Roman"/>
          <w:color w:val="000000"/>
          <w:szCs w:val="32"/>
        </w:rPr>
      </w:pPr>
    </w:p>
    <w:p w14:paraId="22E01367">
      <w:pPr>
        <w:spacing w:line="570" w:lineRule="exact"/>
        <w:rPr>
          <w:rFonts w:ascii="Times New Roman" w:hAnsi="Times New Roman"/>
          <w:color w:val="000000"/>
          <w:szCs w:val="32"/>
        </w:rPr>
      </w:pPr>
    </w:p>
    <w:p w14:paraId="61EFC1C4">
      <w:pPr>
        <w:spacing w:line="570" w:lineRule="exact"/>
        <w:rPr>
          <w:rFonts w:ascii="Times New Roman" w:hAnsi="Times New Roman"/>
          <w:color w:val="000000"/>
          <w:szCs w:val="32"/>
        </w:rPr>
      </w:pPr>
    </w:p>
    <w:p w14:paraId="4D22BAD2">
      <w:pPr>
        <w:spacing w:line="570" w:lineRule="exact"/>
        <w:jc w:val="center"/>
        <w:rPr>
          <w:rFonts w:ascii="Times New Roman" w:hAnsi="Times New Roman"/>
          <w:color w:val="000000"/>
          <w:szCs w:val="32"/>
        </w:rPr>
      </w:pPr>
      <w:r>
        <w:rPr>
          <w:rFonts w:hint="eastAsia" w:ascii="Times New Roman" w:hAnsi="Times New Roman"/>
          <w:color w:val="000000"/>
          <w:szCs w:val="32"/>
        </w:rPr>
        <w:t>丰都府办发〔2022〕24号</w:t>
      </w:r>
    </w:p>
    <w:p w14:paraId="0924380A">
      <w:pPr>
        <w:spacing w:line="570" w:lineRule="exact"/>
        <w:jc w:val="center"/>
        <w:rPr>
          <w:rFonts w:ascii="Times New Roman" w:hAnsi="Times New Roman" w:eastAsia="方正小标宋_GBK"/>
          <w:color w:val="000000"/>
          <w:sz w:val="44"/>
          <w:szCs w:val="44"/>
        </w:rPr>
      </w:pPr>
      <w:r>
        <w:rPr>
          <w:rFonts w:ascii="Times New Roman" w:hAnsi="Times New Roman"/>
          <w:color w:val="000000"/>
          <w:szCs w:val="32"/>
        </w:rPr>
        <w:pict>
          <v:line id="直线 10" o:spid="_x0000_s1027" o:spt="20" style="position:absolute;left:0pt;margin-left:6.85pt;margin-top:8.65pt;height:0pt;width:441pt;z-index:251662336;mso-width-relative:page;mso-height-relative:page;" stroked="t" coordsize="21600,21600">
            <v:path arrowok="t"/>
            <v:fill focussize="0,0"/>
            <v:stroke weight="1.75pt" color="#FF0000"/>
            <v:imagedata o:title=""/>
            <o:lock v:ext="edit"/>
          </v:line>
        </w:pict>
      </w:r>
    </w:p>
    <w:p w14:paraId="0AB51DC3">
      <w:pPr>
        <w:spacing w:line="560" w:lineRule="exact"/>
        <w:jc w:val="center"/>
        <w:rPr>
          <w:rFonts w:ascii="Times New Roman" w:hAnsi="Times New Roman" w:eastAsia="方正小标宋_GBK"/>
          <w:color w:val="000000"/>
          <w:sz w:val="44"/>
          <w:szCs w:val="44"/>
        </w:rPr>
      </w:pPr>
      <w:r>
        <w:rPr>
          <w:rFonts w:ascii="Times New Roman" w:hAnsi="Times New Roman" w:eastAsia="方正小标宋_GBK"/>
          <w:color w:val="000000"/>
          <w:sz w:val="44"/>
          <w:szCs w:val="44"/>
        </w:rPr>
        <w:t>丰都县人民政府办公室</w:t>
      </w:r>
    </w:p>
    <w:p w14:paraId="6EEDD059">
      <w:pPr>
        <w:spacing w:line="560" w:lineRule="exact"/>
        <w:jc w:val="center"/>
        <w:rPr>
          <w:rFonts w:ascii="Times New Roman" w:hAnsi="Times New Roman" w:eastAsia="方正小标宋_GBK"/>
          <w:color w:val="000000"/>
          <w:sz w:val="44"/>
          <w:szCs w:val="44"/>
        </w:rPr>
      </w:pPr>
      <w:r>
        <w:rPr>
          <w:rFonts w:ascii="Times New Roman" w:hAnsi="Times New Roman" w:eastAsia="方正小标宋_GBK"/>
          <w:color w:val="000000"/>
          <w:sz w:val="44"/>
          <w:szCs w:val="44"/>
        </w:rPr>
        <w:t>关于印发《成渝地区双城经济圈丰都综合立体</w:t>
      </w:r>
      <w:r>
        <w:rPr>
          <w:rFonts w:ascii="Times New Roman" w:hAnsi="Times New Roman" w:eastAsia="方正小标宋_GBK"/>
          <w:color w:val="000000"/>
          <w:w w:val="97"/>
          <w:sz w:val="44"/>
          <w:szCs w:val="44"/>
        </w:rPr>
        <w:t>交通网暨</w:t>
      </w:r>
      <w:r>
        <w:rPr>
          <w:rFonts w:hint="eastAsia" w:ascii="Times New Roman" w:hAnsi="Times New Roman" w:eastAsia="方正小标宋_GBK"/>
          <w:color w:val="000000"/>
          <w:w w:val="97"/>
          <w:sz w:val="44"/>
          <w:szCs w:val="44"/>
        </w:rPr>
        <w:t>“</w:t>
      </w:r>
      <w:r>
        <w:rPr>
          <w:rFonts w:ascii="Times New Roman" w:hAnsi="Times New Roman" w:eastAsia="方正小标宋_GBK"/>
          <w:color w:val="000000"/>
          <w:w w:val="97"/>
          <w:sz w:val="44"/>
          <w:szCs w:val="44"/>
        </w:rPr>
        <w:t>十四五</w:t>
      </w:r>
      <w:r>
        <w:rPr>
          <w:rFonts w:hint="eastAsia" w:ascii="Times New Roman" w:hAnsi="Times New Roman" w:eastAsia="方正小标宋_GBK"/>
          <w:color w:val="000000"/>
          <w:w w:val="97"/>
          <w:sz w:val="44"/>
          <w:szCs w:val="44"/>
        </w:rPr>
        <w:t>”</w:t>
      </w:r>
      <w:r>
        <w:rPr>
          <w:rFonts w:ascii="Times New Roman" w:hAnsi="Times New Roman" w:eastAsia="方正小标宋_GBK"/>
          <w:color w:val="000000"/>
          <w:w w:val="97"/>
          <w:sz w:val="44"/>
          <w:szCs w:val="44"/>
        </w:rPr>
        <w:t>综合交通运输发展规划》的</w:t>
      </w:r>
      <w:r>
        <w:rPr>
          <w:rFonts w:ascii="Times New Roman" w:hAnsi="Times New Roman" w:eastAsia="方正小标宋_GBK"/>
          <w:color w:val="000000"/>
          <w:sz w:val="44"/>
          <w:szCs w:val="44"/>
        </w:rPr>
        <w:t>通知</w:t>
      </w:r>
    </w:p>
    <w:p w14:paraId="1BFAFB99">
      <w:pPr>
        <w:spacing w:line="520" w:lineRule="exact"/>
        <w:rPr>
          <w:rFonts w:ascii="Times New Roman" w:hAnsi="Times New Roman"/>
          <w:color w:val="000000"/>
          <w:szCs w:val="32"/>
        </w:rPr>
      </w:pPr>
    </w:p>
    <w:p w14:paraId="2FBC7D88">
      <w:pPr>
        <w:spacing w:line="520" w:lineRule="exact"/>
        <w:rPr>
          <w:rFonts w:ascii="Times New Roman" w:hAnsi="Times New Roman"/>
          <w:color w:val="000000"/>
          <w:szCs w:val="32"/>
        </w:rPr>
      </w:pPr>
      <w:r>
        <w:rPr>
          <w:rFonts w:ascii="Times New Roman" w:hAnsi="Times New Roman"/>
          <w:color w:val="000000"/>
          <w:szCs w:val="32"/>
        </w:rPr>
        <w:t>各乡镇人民政府、街道办事处，县</w:t>
      </w:r>
      <w:r>
        <w:rPr>
          <w:rFonts w:hint="eastAsia" w:ascii="Times New Roman" w:hAnsi="Times New Roman"/>
          <w:color w:val="000000"/>
          <w:szCs w:val="32"/>
        </w:rPr>
        <w:t>府</w:t>
      </w:r>
      <w:r>
        <w:rPr>
          <w:rFonts w:ascii="Times New Roman" w:hAnsi="Times New Roman"/>
          <w:color w:val="000000"/>
          <w:szCs w:val="32"/>
        </w:rPr>
        <w:t>各部门，有关单位：</w:t>
      </w:r>
    </w:p>
    <w:p w14:paraId="2AD30F88">
      <w:pPr>
        <w:spacing w:line="520" w:lineRule="exact"/>
        <w:ind w:firstLine="640" w:firstLineChars="200"/>
        <w:jc w:val="left"/>
        <w:rPr>
          <w:rFonts w:ascii="Times New Roman" w:hAnsi="Times New Roman"/>
          <w:color w:val="000000"/>
          <w:szCs w:val="32"/>
        </w:rPr>
      </w:pPr>
      <w:r>
        <w:rPr>
          <w:rFonts w:ascii="Times New Roman" w:hAnsi="Times New Roman"/>
          <w:color w:val="000000"/>
          <w:szCs w:val="32"/>
        </w:rPr>
        <w:t>《成渝地区双城经济圈丰都综合立体交通网暨</w:t>
      </w:r>
      <w:r>
        <w:rPr>
          <w:rFonts w:hint="eastAsia" w:ascii="Times New Roman" w:hAnsi="Times New Roman"/>
          <w:color w:val="000000"/>
          <w:szCs w:val="32"/>
        </w:rPr>
        <w:t>“</w:t>
      </w:r>
      <w:r>
        <w:rPr>
          <w:rFonts w:ascii="Times New Roman" w:hAnsi="Times New Roman"/>
          <w:color w:val="000000"/>
          <w:szCs w:val="32"/>
        </w:rPr>
        <w:t>十四五</w:t>
      </w:r>
      <w:r>
        <w:rPr>
          <w:rFonts w:hint="eastAsia" w:ascii="Times New Roman" w:hAnsi="Times New Roman"/>
          <w:color w:val="000000"/>
          <w:szCs w:val="32"/>
        </w:rPr>
        <w:t>”</w:t>
      </w:r>
      <w:r>
        <w:rPr>
          <w:rFonts w:ascii="Times New Roman" w:hAnsi="Times New Roman"/>
          <w:color w:val="000000"/>
          <w:szCs w:val="32"/>
        </w:rPr>
        <w:t>综合交通运输发展规划》已经中共丰都县委十五届常委会第28次会议、第十九届县人民政府第10次常务会议审议通过，现印发给你们，请认真贯彻执行。</w:t>
      </w:r>
    </w:p>
    <w:p w14:paraId="68EB6FF5">
      <w:pPr>
        <w:pStyle w:val="6"/>
        <w:spacing w:before="0" w:line="240" w:lineRule="exact"/>
        <w:ind w:left="0"/>
        <w:rPr>
          <w:rFonts w:ascii="Times New Roman" w:hAnsi="Times New Roman" w:eastAsia="方正仿宋_GBK"/>
          <w:color w:val="000000"/>
          <w:sz w:val="32"/>
          <w:szCs w:val="32"/>
        </w:rPr>
      </w:pPr>
    </w:p>
    <w:p w14:paraId="644E18D3">
      <w:pPr>
        <w:pStyle w:val="6"/>
        <w:spacing w:before="0" w:line="240" w:lineRule="exact"/>
        <w:ind w:left="0"/>
        <w:rPr>
          <w:rFonts w:ascii="Times New Roman" w:hAnsi="Times New Roman" w:eastAsia="方正仿宋_GBK"/>
          <w:color w:val="000000"/>
          <w:sz w:val="32"/>
          <w:szCs w:val="32"/>
        </w:rPr>
      </w:pPr>
    </w:p>
    <w:p w14:paraId="48CC769A">
      <w:pPr>
        <w:pStyle w:val="6"/>
        <w:spacing w:before="0" w:line="240" w:lineRule="exact"/>
        <w:ind w:left="0"/>
        <w:rPr>
          <w:rFonts w:ascii="Times New Roman" w:hAnsi="Times New Roman" w:eastAsia="方正仿宋_GBK"/>
          <w:color w:val="000000"/>
          <w:sz w:val="32"/>
          <w:szCs w:val="32"/>
        </w:rPr>
      </w:pPr>
    </w:p>
    <w:p w14:paraId="60EF6CC1">
      <w:pPr>
        <w:spacing w:line="440" w:lineRule="exact"/>
        <w:ind w:left="1280" w:hanging="1280" w:hangingChars="400"/>
        <w:jc w:val="center"/>
        <w:rPr>
          <w:rFonts w:ascii="Times New Roman" w:hAnsi="Times New Roman"/>
          <w:color w:val="000000"/>
          <w:szCs w:val="32"/>
        </w:rPr>
      </w:pPr>
      <w:r>
        <w:rPr>
          <w:rFonts w:ascii="Times New Roman" w:hAnsi="Times New Roman"/>
          <w:color w:val="000000"/>
          <w:szCs w:val="32"/>
        </w:rPr>
        <w:t>丰都县人民政府办公室</w:t>
      </w:r>
    </w:p>
    <w:p w14:paraId="56469899">
      <w:pPr>
        <w:spacing w:line="440" w:lineRule="exact"/>
        <w:ind w:left="1280" w:hanging="1280" w:hangingChars="400"/>
        <w:jc w:val="center"/>
        <w:rPr>
          <w:rFonts w:ascii="Times New Roman" w:hAnsi="Times New Roman"/>
          <w:color w:val="000000"/>
          <w:szCs w:val="32"/>
        </w:rPr>
      </w:pPr>
      <w:r>
        <w:rPr>
          <w:rFonts w:ascii="Times New Roman" w:hAnsi="Times New Roman"/>
          <w:color w:val="000000"/>
          <w:szCs w:val="32"/>
        </w:rPr>
        <w:t xml:space="preserve"> 2022年</w:t>
      </w:r>
      <w:r>
        <w:rPr>
          <w:rFonts w:hint="eastAsia" w:ascii="Times New Roman" w:hAnsi="Times New Roman"/>
          <w:color w:val="000000"/>
          <w:szCs w:val="32"/>
        </w:rPr>
        <w:t>9</w:t>
      </w:r>
      <w:r>
        <w:rPr>
          <w:rFonts w:ascii="Times New Roman" w:hAnsi="Times New Roman"/>
          <w:color w:val="000000"/>
          <w:szCs w:val="32"/>
        </w:rPr>
        <w:t>月</w:t>
      </w:r>
      <w:r>
        <w:rPr>
          <w:rFonts w:hint="eastAsia" w:ascii="Times New Roman" w:hAnsi="Times New Roman"/>
          <w:color w:val="000000"/>
          <w:szCs w:val="32"/>
        </w:rPr>
        <w:t>23</w:t>
      </w:r>
      <w:r>
        <w:rPr>
          <w:rFonts w:ascii="Times New Roman" w:hAnsi="Times New Roman"/>
          <w:color w:val="000000"/>
          <w:szCs w:val="32"/>
        </w:rPr>
        <w:t xml:space="preserve">日        </w:t>
      </w:r>
    </w:p>
    <w:p w14:paraId="642223F3">
      <w:pPr>
        <w:pStyle w:val="2"/>
        <w:ind w:firstLine="0"/>
      </w:pPr>
    </w:p>
    <w:p w14:paraId="37A17738">
      <w:pPr>
        <w:spacing w:line="600" w:lineRule="exact"/>
        <w:ind w:firstLine="640" w:firstLineChars="200"/>
        <w:rPr>
          <w:rFonts w:ascii="Times New Roman" w:hAnsi="Times New Roman"/>
          <w:color w:val="000000"/>
          <w:szCs w:val="32"/>
        </w:rPr>
        <w:sectPr>
          <w:footerReference r:id="rId4" w:type="default"/>
          <w:footerReference r:id="rId5" w:type="even"/>
          <w:pgSz w:w="11906" w:h="16838"/>
          <w:pgMar w:top="2098" w:right="1531" w:bottom="1984" w:left="1531" w:header="851" w:footer="992" w:gutter="0"/>
          <w:cols w:space="0" w:num="1"/>
          <w:docGrid w:type="lines" w:linePitch="440" w:charSpace="0"/>
        </w:sectPr>
      </w:pPr>
      <w:r>
        <w:rPr>
          <w:rFonts w:ascii="Times New Roman" w:hAnsi="Times New Roman"/>
          <w:color w:val="000000"/>
          <w:szCs w:val="32"/>
        </w:rPr>
        <w:t>（此件公开发布）</w:t>
      </w:r>
    </w:p>
    <w:p w14:paraId="18C23961">
      <w:pPr>
        <w:overflowPunct w:val="0"/>
        <w:spacing w:line="600" w:lineRule="exact"/>
        <w:ind w:firstLine="880"/>
        <w:rPr>
          <w:rFonts w:ascii="Times New Roman" w:hAnsi="Times New Roman"/>
          <w:szCs w:val="32"/>
        </w:rPr>
      </w:pPr>
    </w:p>
    <w:p w14:paraId="7E2183FA">
      <w:pPr>
        <w:overflowPunct w:val="0"/>
        <w:spacing w:line="600" w:lineRule="exact"/>
        <w:ind w:firstLine="880"/>
        <w:rPr>
          <w:rFonts w:ascii="Times New Roman" w:hAnsi="Times New Roman"/>
          <w:szCs w:val="32"/>
        </w:rPr>
      </w:pPr>
    </w:p>
    <w:p w14:paraId="457E99CF">
      <w:pPr>
        <w:overflowPunct w:val="0"/>
        <w:spacing w:line="600" w:lineRule="exact"/>
        <w:ind w:firstLine="880"/>
        <w:rPr>
          <w:rFonts w:ascii="Times New Roman" w:hAnsi="Times New Roman"/>
          <w:szCs w:val="32"/>
        </w:rPr>
      </w:pPr>
    </w:p>
    <w:p w14:paraId="1F7A3F8A">
      <w:pPr>
        <w:overflowPunct w:val="0"/>
        <w:spacing w:line="600" w:lineRule="exact"/>
        <w:jc w:val="center"/>
        <w:rPr>
          <w:rFonts w:ascii="Times New Roman" w:hAnsi="Times New Roman" w:eastAsia="方正小标宋_GBK"/>
          <w:sz w:val="44"/>
          <w:szCs w:val="44"/>
        </w:rPr>
      </w:pPr>
      <w:r>
        <w:rPr>
          <w:rFonts w:ascii="Times New Roman" w:hAnsi="Times New Roman" w:eastAsia="方正小标宋_GBK"/>
          <w:sz w:val="44"/>
          <w:szCs w:val="44"/>
        </w:rPr>
        <w:t>成渝地区双城经济圈丰都综合立体交通网</w:t>
      </w:r>
    </w:p>
    <w:p w14:paraId="7C445DB0">
      <w:pPr>
        <w:overflowPunct w:val="0"/>
        <w:spacing w:line="600" w:lineRule="exact"/>
        <w:jc w:val="center"/>
        <w:rPr>
          <w:rFonts w:ascii="Times New Roman" w:hAnsi="Times New Roman" w:eastAsia="方正小标宋_GBK"/>
          <w:sz w:val="44"/>
          <w:szCs w:val="44"/>
        </w:rPr>
      </w:pPr>
      <w:r>
        <w:rPr>
          <w:rFonts w:ascii="Times New Roman" w:hAnsi="Times New Roman" w:eastAsia="方正小标宋_GBK"/>
          <w:sz w:val="44"/>
          <w:szCs w:val="44"/>
        </w:rPr>
        <w:t>暨</w:t>
      </w:r>
      <w:r>
        <w:rPr>
          <w:rFonts w:hint="eastAsia" w:ascii="Times New Roman" w:hAnsi="Times New Roman" w:eastAsia="方正小标宋_GBK"/>
          <w:sz w:val="44"/>
          <w:szCs w:val="44"/>
        </w:rPr>
        <w:t>“</w:t>
      </w:r>
      <w:r>
        <w:rPr>
          <w:rFonts w:ascii="Times New Roman" w:hAnsi="Times New Roman" w:eastAsia="方正小标宋_GBK"/>
          <w:sz w:val="44"/>
          <w:szCs w:val="44"/>
        </w:rPr>
        <w:t>十四五</w:t>
      </w:r>
      <w:r>
        <w:rPr>
          <w:rFonts w:hint="eastAsia" w:ascii="Times New Roman" w:hAnsi="Times New Roman" w:eastAsia="方正小标宋_GBK"/>
          <w:sz w:val="44"/>
          <w:szCs w:val="44"/>
        </w:rPr>
        <w:t>”</w:t>
      </w:r>
      <w:r>
        <w:rPr>
          <w:rFonts w:ascii="Times New Roman" w:hAnsi="Times New Roman" w:eastAsia="方正小标宋_GBK"/>
          <w:sz w:val="44"/>
          <w:szCs w:val="44"/>
        </w:rPr>
        <w:t>综合交通运输发展规划</w:t>
      </w:r>
    </w:p>
    <w:p w14:paraId="7B4C2AB5">
      <w:pPr>
        <w:adjustRightInd w:val="0"/>
        <w:snapToGrid w:val="0"/>
        <w:spacing w:line="600" w:lineRule="exact"/>
        <w:ind w:firstLine="720"/>
        <w:jc w:val="left"/>
        <w:rPr>
          <w:rFonts w:ascii="Times New Roman" w:hAnsi="Times New Roman"/>
          <w:szCs w:val="32"/>
        </w:rPr>
      </w:pPr>
    </w:p>
    <w:p w14:paraId="00624707">
      <w:pPr>
        <w:adjustRightInd w:val="0"/>
        <w:snapToGrid w:val="0"/>
        <w:spacing w:line="600" w:lineRule="exact"/>
        <w:ind w:firstLine="720"/>
        <w:jc w:val="left"/>
        <w:rPr>
          <w:rFonts w:ascii="Times New Roman" w:hAnsi="Times New Roman"/>
          <w:szCs w:val="32"/>
        </w:rPr>
      </w:pPr>
    </w:p>
    <w:p w14:paraId="007F5EF0">
      <w:pPr>
        <w:adjustRightInd w:val="0"/>
        <w:snapToGrid w:val="0"/>
        <w:spacing w:line="600" w:lineRule="exact"/>
        <w:ind w:firstLine="720"/>
        <w:jc w:val="left"/>
        <w:rPr>
          <w:rFonts w:ascii="Times New Roman" w:hAnsi="Times New Roman"/>
          <w:szCs w:val="32"/>
        </w:rPr>
      </w:pPr>
    </w:p>
    <w:p w14:paraId="1676930A">
      <w:pPr>
        <w:adjustRightInd w:val="0"/>
        <w:snapToGrid w:val="0"/>
        <w:spacing w:line="600" w:lineRule="exact"/>
        <w:ind w:firstLine="720"/>
        <w:jc w:val="left"/>
        <w:rPr>
          <w:rFonts w:ascii="Times New Roman" w:hAnsi="Times New Roman"/>
          <w:szCs w:val="32"/>
        </w:rPr>
      </w:pPr>
    </w:p>
    <w:p w14:paraId="7F0F324C">
      <w:pPr>
        <w:adjustRightInd w:val="0"/>
        <w:snapToGrid w:val="0"/>
        <w:spacing w:line="600" w:lineRule="exact"/>
        <w:ind w:firstLine="720"/>
        <w:jc w:val="left"/>
        <w:rPr>
          <w:rFonts w:ascii="Times New Roman" w:hAnsi="Times New Roman"/>
          <w:szCs w:val="32"/>
        </w:rPr>
      </w:pPr>
    </w:p>
    <w:p w14:paraId="69E252B9">
      <w:pPr>
        <w:adjustRightInd w:val="0"/>
        <w:snapToGrid w:val="0"/>
        <w:spacing w:line="600" w:lineRule="exact"/>
        <w:ind w:firstLine="720"/>
        <w:jc w:val="left"/>
        <w:rPr>
          <w:rFonts w:ascii="Times New Roman" w:hAnsi="Times New Roman"/>
          <w:szCs w:val="32"/>
        </w:rPr>
      </w:pPr>
    </w:p>
    <w:p w14:paraId="6B8FB28B">
      <w:pPr>
        <w:adjustRightInd w:val="0"/>
        <w:snapToGrid w:val="0"/>
        <w:spacing w:line="600" w:lineRule="exact"/>
        <w:ind w:firstLine="720"/>
        <w:jc w:val="left"/>
        <w:rPr>
          <w:rFonts w:ascii="Times New Roman" w:hAnsi="Times New Roman"/>
          <w:szCs w:val="32"/>
        </w:rPr>
      </w:pPr>
    </w:p>
    <w:p w14:paraId="0331E8B9">
      <w:pPr>
        <w:pStyle w:val="2"/>
        <w:spacing w:line="600" w:lineRule="exact"/>
        <w:rPr>
          <w:rFonts w:eastAsia="方正仿宋_GBK"/>
          <w:szCs w:val="32"/>
        </w:rPr>
      </w:pPr>
    </w:p>
    <w:p w14:paraId="3433A8DF">
      <w:pPr>
        <w:spacing w:line="600" w:lineRule="exact"/>
        <w:rPr>
          <w:rFonts w:ascii="Times New Roman" w:hAnsi="Times New Roman"/>
          <w:szCs w:val="32"/>
        </w:rPr>
      </w:pPr>
    </w:p>
    <w:p w14:paraId="51DB8BF3">
      <w:pPr>
        <w:pStyle w:val="2"/>
        <w:spacing w:line="600" w:lineRule="exact"/>
        <w:rPr>
          <w:rFonts w:eastAsia="方正仿宋_GBK"/>
          <w:szCs w:val="32"/>
        </w:rPr>
      </w:pPr>
    </w:p>
    <w:p w14:paraId="508B57FE">
      <w:pPr>
        <w:adjustRightInd w:val="0"/>
        <w:snapToGrid w:val="0"/>
        <w:spacing w:line="600" w:lineRule="exact"/>
        <w:rPr>
          <w:rFonts w:ascii="Times New Roman" w:hAnsi="Times New Roman"/>
          <w:szCs w:val="32"/>
        </w:rPr>
      </w:pPr>
    </w:p>
    <w:p w14:paraId="6CCBC28E">
      <w:pPr>
        <w:pStyle w:val="2"/>
        <w:ind w:firstLine="0"/>
      </w:pPr>
    </w:p>
    <w:p w14:paraId="15D8FBA3">
      <w:pPr>
        <w:overflowPunct w:val="0"/>
        <w:snapToGrid w:val="0"/>
        <w:spacing w:line="600" w:lineRule="exact"/>
        <w:jc w:val="center"/>
        <w:rPr>
          <w:rFonts w:ascii="Times New Roman" w:hAnsi="Times New Roman" w:eastAsia="方正楷体_GBK"/>
          <w:color w:val="000000"/>
          <w:szCs w:val="32"/>
        </w:rPr>
        <w:sectPr>
          <w:headerReference r:id="rId7" w:type="first"/>
          <w:footerReference r:id="rId8" w:type="default"/>
          <w:headerReference r:id="rId6" w:type="even"/>
          <w:footerReference r:id="rId9" w:type="even"/>
          <w:pgSz w:w="11906" w:h="16838"/>
          <w:pgMar w:top="2098" w:right="1531" w:bottom="1984" w:left="1531" w:header="851" w:footer="992" w:gutter="0"/>
          <w:pgNumType w:start="1"/>
          <w:cols w:space="0" w:num="1"/>
          <w:docGrid w:type="lines" w:linePitch="440" w:charSpace="0"/>
        </w:sectPr>
      </w:pPr>
      <w:r>
        <w:rPr>
          <w:rFonts w:ascii="Times New Roman" w:hAnsi="Times New Roman" w:eastAsia="方正楷体_GBK"/>
          <w:color w:val="000000"/>
          <w:szCs w:val="32"/>
        </w:rPr>
        <w:t>二〇二二年九月</w:t>
      </w:r>
    </w:p>
    <w:p w14:paraId="507277A8">
      <w:pPr>
        <w:overflowPunct w:val="0"/>
        <w:snapToGrid w:val="0"/>
        <w:spacing w:line="600" w:lineRule="exact"/>
        <w:jc w:val="center"/>
        <w:rPr>
          <w:rFonts w:ascii="Times New Roman" w:hAnsi="Times New Roman" w:eastAsia="方正小标宋_GBK"/>
          <w:sz w:val="44"/>
          <w:szCs w:val="44"/>
          <w:lang w:val="zh-CN"/>
        </w:rPr>
      </w:pPr>
      <w:r>
        <w:rPr>
          <w:rFonts w:ascii="Times New Roman" w:hAnsi="Times New Roman" w:eastAsia="方正小标宋_GBK"/>
          <w:sz w:val="44"/>
          <w:szCs w:val="44"/>
          <w:lang w:val="zh-CN"/>
        </w:rPr>
        <w:t>目  录</w:t>
      </w:r>
    </w:p>
    <w:p w14:paraId="74FAF7F8"/>
    <w:p w14:paraId="2946E217">
      <w:pPr>
        <w:pStyle w:val="3"/>
        <w:spacing w:beforeLines="0" w:line="600" w:lineRule="exact"/>
        <w:jc w:val="both"/>
        <w:rPr>
          <w:rFonts w:ascii="Times New Roman" w:hAnsi="Times New Roman" w:eastAsia="方正仿宋_GBK" w:cs="Times New Roman"/>
          <w:b w:val="0"/>
          <w:bCs w:val="0"/>
          <w:kern w:val="28"/>
          <w:szCs w:val="32"/>
        </w:rPr>
      </w:pPr>
      <w:r>
        <w:rPr>
          <w:rFonts w:ascii="Times New Roman" w:hAnsi="Times New Roman" w:eastAsia="方正仿宋_GBK" w:cs="Times New Roman"/>
          <w:b w:val="0"/>
          <w:bCs w:val="0"/>
          <w:szCs w:val="32"/>
        </w:rPr>
        <w:t>第一章  发展基础</w:t>
      </w:r>
      <w:r>
        <w:rPr>
          <w:rFonts w:hint="eastAsia" w:ascii="Times New Roman" w:hAnsi="Times New Roman" w:eastAsia="方正仿宋_GBK" w:cs="Times New Roman"/>
          <w:b w:val="0"/>
          <w:bCs w:val="0"/>
          <w:szCs w:val="32"/>
        </w:rPr>
        <w:t>............................................................................2</w:t>
      </w:r>
    </w:p>
    <w:p w14:paraId="3AD33997">
      <w:pPr>
        <w:pStyle w:val="3"/>
        <w:spacing w:beforeLines="0" w:line="600" w:lineRule="exact"/>
        <w:jc w:val="both"/>
        <w:rPr>
          <w:rFonts w:ascii="Times New Roman" w:hAnsi="Times New Roman" w:eastAsia="方正仿宋_GBK" w:cs="Times New Roman"/>
          <w:b w:val="0"/>
          <w:bCs w:val="0"/>
          <w:szCs w:val="32"/>
        </w:rPr>
      </w:pPr>
      <w:r>
        <w:rPr>
          <w:rFonts w:ascii="Times New Roman" w:hAnsi="Times New Roman" w:eastAsia="方正仿宋_GBK" w:cs="Times New Roman"/>
          <w:b w:val="0"/>
          <w:bCs w:val="0"/>
          <w:szCs w:val="32"/>
        </w:rPr>
        <w:t>第二章  中长期布局规划</w:t>
      </w:r>
      <w:r>
        <w:rPr>
          <w:rFonts w:hint="eastAsia" w:ascii="Times New Roman" w:hAnsi="Times New Roman" w:eastAsia="方正仿宋_GBK" w:cs="Times New Roman"/>
          <w:b w:val="0"/>
          <w:bCs w:val="0"/>
          <w:szCs w:val="32"/>
        </w:rPr>
        <w:t>..............................................................18</w:t>
      </w:r>
    </w:p>
    <w:p w14:paraId="1976DFC6">
      <w:pPr>
        <w:pStyle w:val="3"/>
        <w:spacing w:beforeLines="0" w:line="600" w:lineRule="exact"/>
        <w:jc w:val="both"/>
        <w:rPr>
          <w:rFonts w:ascii="Times New Roman" w:hAnsi="Times New Roman" w:eastAsia="方正仿宋_GBK" w:cs="Times New Roman"/>
          <w:b w:val="0"/>
          <w:bCs w:val="0"/>
          <w:szCs w:val="32"/>
        </w:rPr>
      </w:pPr>
      <w:r>
        <w:rPr>
          <w:rFonts w:ascii="Times New Roman" w:hAnsi="Times New Roman" w:eastAsia="方正仿宋_GBK" w:cs="Times New Roman"/>
          <w:b w:val="0"/>
          <w:bCs w:val="0"/>
          <w:szCs w:val="32"/>
        </w:rPr>
        <w:t>第三章  “十四五”规划总体思路</w:t>
      </w:r>
      <w:r>
        <w:rPr>
          <w:rFonts w:hint="eastAsia" w:ascii="Times New Roman" w:hAnsi="Times New Roman" w:eastAsia="方正仿宋_GBK" w:cs="Times New Roman"/>
          <w:b w:val="0"/>
          <w:bCs w:val="0"/>
          <w:szCs w:val="32"/>
        </w:rPr>
        <w:t>...............................................</w:t>
      </w:r>
      <w:r>
        <w:rPr>
          <w:rFonts w:hint="eastAsia" w:ascii="Times New Roman" w:hAnsi="Times New Roman" w:eastAsia="方正仿宋_GBK" w:cs="Times New Roman"/>
          <w:b w:val="0"/>
          <w:bCs w:val="0"/>
          <w:spacing w:val="11"/>
          <w:szCs w:val="32"/>
        </w:rPr>
        <w:t>...</w:t>
      </w:r>
      <w:r>
        <w:rPr>
          <w:rFonts w:hint="eastAsia" w:ascii="Times New Roman" w:hAnsi="Times New Roman" w:eastAsia="方正仿宋_GBK" w:cs="Times New Roman"/>
          <w:b w:val="0"/>
          <w:bCs w:val="0"/>
          <w:szCs w:val="32"/>
        </w:rPr>
        <w:t>22</w:t>
      </w:r>
    </w:p>
    <w:p w14:paraId="0C8E7BB0">
      <w:pPr>
        <w:pStyle w:val="3"/>
        <w:spacing w:beforeLines="0" w:line="600" w:lineRule="exact"/>
        <w:jc w:val="both"/>
        <w:rPr>
          <w:rFonts w:ascii="Times New Roman" w:hAnsi="Times New Roman" w:eastAsia="方正仿宋_GBK" w:cs="Times New Roman"/>
          <w:b w:val="0"/>
          <w:bCs w:val="0"/>
          <w:szCs w:val="32"/>
        </w:rPr>
      </w:pPr>
      <w:r>
        <w:rPr>
          <w:rFonts w:ascii="Times New Roman" w:hAnsi="Times New Roman" w:eastAsia="方正仿宋_GBK" w:cs="Times New Roman"/>
          <w:b w:val="0"/>
          <w:bCs w:val="0"/>
          <w:szCs w:val="32"/>
        </w:rPr>
        <w:t>第四章  “十四五”期间重点任务</w:t>
      </w:r>
      <w:r>
        <w:rPr>
          <w:rFonts w:hint="eastAsia" w:ascii="Times New Roman" w:hAnsi="Times New Roman" w:eastAsia="方正仿宋_GBK" w:cs="Times New Roman"/>
          <w:b w:val="0"/>
          <w:bCs w:val="0"/>
          <w:szCs w:val="32"/>
        </w:rPr>
        <w:t>...............................................</w:t>
      </w:r>
      <w:r>
        <w:rPr>
          <w:rFonts w:hint="eastAsia" w:ascii="Times New Roman" w:hAnsi="Times New Roman" w:eastAsia="方正仿宋_GBK" w:cs="Times New Roman"/>
          <w:b w:val="0"/>
          <w:bCs w:val="0"/>
          <w:spacing w:val="11"/>
          <w:szCs w:val="32"/>
        </w:rPr>
        <w:t>...</w:t>
      </w:r>
      <w:r>
        <w:rPr>
          <w:rFonts w:hint="eastAsia" w:ascii="Times New Roman" w:hAnsi="Times New Roman" w:eastAsia="方正仿宋_GBK" w:cs="Times New Roman"/>
          <w:b w:val="0"/>
          <w:bCs w:val="0"/>
          <w:szCs w:val="32"/>
        </w:rPr>
        <w:t>33</w:t>
      </w:r>
    </w:p>
    <w:p w14:paraId="5EA671EF">
      <w:pPr>
        <w:pStyle w:val="3"/>
        <w:spacing w:beforeLines="0" w:line="600" w:lineRule="exact"/>
        <w:jc w:val="both"/>
        <w:rPr>
          <w:rFonts w:ascii="Times New Roman" w:hAnsi="Times New Roman" w:eastAsia="方正仿宋_GBK" w:cs="Times New Roman"/>
          <w:b w:val="0"/>
          <w:bCs w:val="0"/>
          <w:szCs w:val="32"/>
        </w:rPr>
      </w:pPr>
      <w:r>
        <w:rPr>
          <w:rFonts w:ascii="Times New Roman" w:hAnsi="Times New Roman" w:eastAsia="方正仿宋_GBK" w:cs="Times New Roman"/>
          <w:b w:val="0"/>
          <w:bCs w:val="0"/>
          <w:szCs w:val="32"/>
        </w:rPr>
        <w:t>第五章  资金需求与效果评价</w:t>
      </w:r>
      <w:r>
        <w:rPr>
          <w:rFonts w:hint="eastAsia" w:ascii="Times New Roman" w:hAnsi="Times New Roman" w:eastAsia="方正仿宋_GBK" w:cs="Times New Roman"/>
          <w:b w:val="0"/>
          <w:bCs w:val="0"/>
          <w:szCs w:val="32"/>
        </w:rPr>
        <w:t>......................................................54</w:t>
      </w:r>
    </w:p>
    <w:p w14:paraId="2B82FF0B">
      <w:pPr>
        <w:pStyle w:val="3"/>
        <w:spacing w:beforeLines="0" w:line="600" w:lineRule="exact"/>
        <w:jc w:val="both"/>
        <w:rPr>
          <w:rFonts w:ascii="Times New Roman" w:hAnsi="Times New Roman" w:eastAsia="方正仿宋_GBK" w:cs="Times New Roman"/>
          <w:b w:val="0"/>
          <w:bCs w:val="0"/>
          <w:szCs w:val="32"/>
        </w:rPr>
      </w:pPr>
      <w:r>
        <w:rPr>
          <w:rFonts w:ascii="Times New Roman" w:hAnsi="Times New Roman" w:eastAsia="方正仿宋_GBK" w:cs="Times New Roman"/>
          <w:b w:val="0"/>
          <w:bCs w:val="0"/>
          <w:szCs w:val="32"/>
        </w:rPr>
        <w:t>第六章  环境评价</w:t>
      </w:r>
      <w:r>
        <w:rPr>
          <w:rFonts w:hint="eastAsia" w:ascii="Times New Roman" w:hAnsi="Times New Roman" w:eastAsia="方正仿宋_GBK" w:cs="Times New Roman"/>
          <w:b w:val="0"/>
          <w:bCs w:val="0"/>
          <w:szCs w:val="32"/>
        </w:rPr>
        <w:t>..........................................................................56</w:t>
      </w:r>
    </w:p>
    <w:p w14:paraId="5FD4AAF8">
      <w:pPr>
        <w:pStyle w:val="3"/>
        <w:spacing w:beforeLines="0" w:line="600" w:lineRule="exact"/>
        <w:jc w:val="both"/>
        <w:rPr>
          <w:rFonts w:ascii="Times New Roman" w:hAnsi="Times New Roman" w:eastAsia="方正仿宋_GBK" w:cs="Times New Roman"/>
          <w:b w:val="0"/>
          <w:bCs w:val="0"/>
          <w:szCs w:val="32"/>
        </w:rPr>
      </w:pPr>
      <w:r>
        <w:rPr>
          <w:rFonts w:ascii="Times New Roman" w:hAnsi="Times New Roman" w:eastAsia="方正仿宋_GBK" w:cs="Times New Roman"/>
          <w:b w:val="0"/>
          <w:bCs w:val="0"/>
          <w:szCs w:val="32"/>
        </w:rPr>
        <w:t>第七章  保障措施</w:t>
      </w:r>
      <w:r>
        <w:rPr>
          <w:rFonts w:hint="eastAsia" w:ascii="Times New Roman" w:hAnsi="Times New Roman" w:eastAsia="方正仿宋_GBK" w:cs="Times New Roman"/>
          <w:b w:val="0"/>
          <w:bCs w:val="0"/>
          <w:szCs w:val="32"/>
        </w:rPr>
        <w:t>..........................................................................60</w:t>
      </w:r>
    </w:p>
    <w:p w14:paraId="0F08485F"/>
    <w:p w14:paraId="53C7B1D6">
      <w:pPr>
        <w:pStyle w:val="2"/>
      </w:pPr>
    </w:p>
    <w:p w14:paraId="4F326D15"/>
    <w:p w14:paraId="6CAB180A">
      <w:pPr>
        <w:pStyle w:val="2"/>
      </w:pPr>
    </w:p>
    <w:p w14:paraId="3BC2F22D"/>
    <w:p w14:paraId="583B4814">
      <w:pPr>
        <w:pStyle w:val="2"/>
      </w:pPr>
    </w:p>
    <w:p w14:paraId="05D0E8C4"/>
    <w:p w14:paraId="1DA18EAE">
      <w:pPr>
        <w:pStyle w:val="2"/>
        <w:sectPr>
          <w:footerReference r:id="rId10" w:type="default"/>
          <w:footerReference r:id="rId11" w:type="even"/>
          <w:pgSz w:w="11906" w:h="16838"/>
          <w:pgMar w:top="2098" w:right="1531" w:bottom="1984" w:left="1531" w:header="851" w:footer="992" w:gutter="0"/>
          <w:pgNumType w:start="4"/>
          <w:cols w:space="0" w:num="1"/>
          <w:docGrid w:type="lines" w:linePitch="440" w:charSpace="0"/>
        </w:sectPr>
      </w:pPr>
    </w:p>
    <w:p w14:paraId="682C37AB">
      <w:pPr>
        <w:spacing w:line="600" w:lineRule="exact"/>
        <w:ind w:firstLine="640"/>
        <w:rPr>
          <w:rFonts w:ascii="Times New Roman" w:hAnsi="Times New Roman"/>
          <w:szCs w:val="32"/>
        </w:rPr>
      </w:pPr>
      <w:r>
        <w:rPr>
          <w:rFonts w:ascii="Times New Roman" w:hAnsi="Times New Roman"/>
          <w:kern w:val="28"/>
          <w:szCs w:val="32"/>
        </w:rPr>
        <w:t>为深入贯彻落实习近平总书记关于交通强国系列重要讲话精神和对重庆提出的系列重要指示要求，以及《成渝地区双城经济圈建设规划纲要》《交通强国建设纲要》《重庆市综合交通运输</w:t>
      </w:r>
      <w:r>
        <w:rPr>
          <w:rFonts w:hint="eastAsia" w:ascii="Times New Roman" w:hAnsi="Times New Roman"/>
          <w:kern w:val="28"/>
          <w:szCs w:val="32"/>
        </w:rPr>
        <w:t>“</w:t>
      </w:r>
      <w:r>
        <w:rPr>
          <w:rFonts w:ascii="Times New Roman" w:hAnsi="Times New Roman"/>
          <w:kern w:val="28"/>
          <w:szCs w:val="32"/>
        </w:rPr>
        <w:t>十四五</w:t>
      </w:r>
      <w:r>
        <w:rPr>
          <w:rFonts w:hint="eastAsia" w:ascii="Times New Roman" w:hAnsi="Times New Roman"/>
          <w:kern w:val="28"/>
          <w:szCs w:val="32"/>
        </w:rPr>
        <w:t>”</w:t>
      </w:r>
      <w:r>
        <w:rPr>
          <w:rFonts w:ascii="Times New Roman" w:hAnsi="Times New Roman"/>
          <w:kern w:val="28"/>
          <w:szCs w:val="32"/>
        </w:rPr>
        <w:t>规划（2021</w:t>
      </w:r>
      <w:r>
        <w:rPr>
          <w:rFonts w:hint="eastAsia" w:ascii="Times New Roman" w:hAnsi="Times New Roman"/>
          <w:kern w:val="28"/>
          <w:szCs w:val="32"/>
        </w:rPr>
        <w:t>-</w:t>
      </w:r>
      <w:r>
        <w:rPr>
          <w:rFonts w:ascii="Times New Roman" w:hAnsi="Times New Roman"/>
          <w:kern w:val="28"/>
          <w:szCs w:val="32"/>
        </w:rPr>
        <w:t>2025年）》《重庆市综合立体交通网规划纲要（2021</w:t>
      </w:r>
      <w:r>
        <w:rPr>
          <w:rFonts w:hint="eastAsia" w:ascii="Times New Roman" w:hAnsi="Times New Roman"/>
          <w:kern w:val="28"/>
          <w:szCs w:val="32"/>
        </w:rPr>
        <w:t>-</w:t>
      </w:r>
      <w:r>
        <w:rPr>
          <w:rFonts w:ascii="Times New Roman" w:hAnsi="Times New Roman"/>
          <w:kern w:val="28"/>
          <w:szCs w:val="32"/>
        </w:rPr>
        <w:t>2035年）》和建设现代化美丽丰都的</w:t>
      </w:r>
      <w:r>
        <w:rPr>
          <w:rFonts w:hint="eastAsia" w:ascii="Times New Roman" w:hAnsi="Times New Roman"/>
          <w:kern w:val="28"/>
          <w:szCs w:val="32"/>
        </w:rPr>
        <w:t>“三三三五”</w:t>
      </w:r>
      <w:r>
        <w:rPr>
          <w:rFonts w:ascii="Times New Roman" w:hAnsi="Times New Roman"/>
          <w:kern w:val="28"/>
          <w:szCs w:val="32"/>
        </w:rPr>
        <w:t>发展战略，加快交通强县建设，助推交通强市建设，</w:t>
      </w:r>
      <w:r>
        <w:rPr>
          <w:rFonts w:ascii="Times New Roman" w:hAnsi="Times New Roman"/>
          <w:szCs w:val="32"/>
        </w:rPr>
        <w:t>着力打造成渝地区双城经济圈节点、沿江通道、</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联结点，让道路成风景，建设人民满意交通，加快郊区新城、文化名城、山水智城建设，根据《丰都县国民经济和社会发展第十四个五年规划和二</w:t>
      </w:r>
      <w:r>
        <w:rPr>
          <w:rFonts w:hint="eastAsia" w:ascii="Times New Roman" w:hAnsi="Times New Roman"/>
          <w:szCs w:val="32"/>
        </w:rPr>
        <w:t>○</w:t>
      </w:r>
      <w:r>
        <w:rPr>
          <w:rFonts w:ascii="Times New Roman" w:hAnsi="Times New Roman"/>
          <w:szCs w:val="32"/>
        </w:rPr>
        <w:t>三五远景目标纲要》，特编制本规划，规划期限2021</w:t>
      </w:r>
      <w:r>
        <w:rPr>
          <w:rFonts w:hint="eastAsia" w:ascii="Times New Roman" w:hAnsi="Times New Roman"/>
          <w:szCs w:val="32"/>
        </w:rPr>
        <w:t>-</w:t>
      </w:r>
      <w:r>
        <w:rPr>
          <w:rFonts w:ascii="Times New Roman" w:hAnsi="Times New Roman"/>
          <w:szCs w:val="32"/>
        </w:rPr>
        <w:t>2025年，展望到2035年。</w:t>
      </w:r>
    </w:p>
    <w:p w14:paraId="1A447614">
      <w:pPr>
        <w:pStyle w:val="6"/>
        <w:spacing w:before="0" w:line="600" w:lineRule="exact"/>
        <w:ind w:left="0" w:firstLine="420"/>
        <w:rPr>
          <w:rFonts w:ascii="Times New Roman" w:hAnsi="Times New Roman" w:eastAsia="方正仿宋_GBK"/>
          <w:sz w:val="32"/>
          <w:szCs w:val="32"/>
        </w:rPr>
      </w:pPr>
    </w:p>
    <w:p w14:paraId="75BE9469">
      <w:pPr>
        <w:pStyle w:val="3"/>
        <w:spacing w:beforeLines="0" w:line="600" w:lineRule="exact"/>
        <w:rPr>
          <w:rFonts w:ascii="Times New Roman" w:hAnsi="Times New Roman" w:cs="Times New Roman"/>
          <w:b w:val="0"/>
          <w:bCs w:val="0"/>
          <w:sz w:val="36"/>
          <w:szCs w:val="36"/>
        </w:rPr>
      </w:pPr>
      <w:bookmarkStart w:id="0" w:name="_Toc51758625"/>
    </w:p>
    <w:p w14:paraId="28A11038">
      <w:pPr>
        <w:pStyle w:val="3"/>
        <w:spacing w:beforeLines="0" w:line="600" w:lineRule="exact"/>
        <w:rPr>
          <w:rFonts w:ascii="Times New Roman" w:hAnsi="Times New Roman" w:cs="Times New Roman"/>
          <w:b w:val="0"/>
          <w:bCs w:val="0"/>
          <w:sz w:val="36"/>
          <w:szCs w:val="36"/>
        </w:rPr>
      </w:pPr>
    </w:p>
    <w:p w14:paraId="70609B99">
      <w:pPr>
        <w:pStyle w:val="3"/>
        <w:spacing w:beforeLines="0" w:line="600" w:lineRule="exact"/>
        <w:rPr>
          <w:rFonts w:ascii="Times New Roman" w:hAnsi="Times New Roman" w:cs="Times New Roman"/>
          <w:b w:val="0"/>
          <w:bCs w:val="0"/>
          <w:sz w:val="36"/>
          <w:szCs w:val="36"/>
        </w:rPr>
      </w:pPr>
    </w:p>
    <w:p w14:paraId="0E05A718">
      <w:pPr>
        <w:pStyle w:val="3"/>
        <w:spacing w:beforeLines="0" w:line="600" w:lineRule="exact"/>
        <w:rPr>
          <w:rFonts w:ascii="Times New Roman" w:hAnsi="Times New Roman" w:cs="Times New Roman"/>
          <w:b w:val="0"/>
          <w:bCs w:val="0"/>
          <w:sz w:val="36"/>
          <w:szCs w:val="36"/>
        </w:rPr>
      </w:pPr>
    </w:p>
    <w:p w14:paraId="646F29E0">
      <w:pPr>
        <w:pStyle w:val="3"/>
        <w:spacing w:beforeLines="0" w:line="600" w:lineRule="exact"/>
        <w:rPr>
          <w:rFonts w:ascii="Times New Roman" w:hAnsi="Times New Roman" w:cs="Times New Roman"/>
          <w:b w:val="0"/>
          <w:bCs w:val="0"/>
          <w:sz w:val="36"/>
          <w:szCs w:val="36"/>
        </w:rPr>
      </w:pPr>
    </w:p>
    <w:p w14:paraId="7E75C5EA">
      <w:pPr>
        <w:pStyle w:val="3"/>
        <w:spacing w:beforeLines="0" w:line="600" w:lineRule="exact"/>
        <w:rPr>
          <w:rFonts w:ascii="Times New Roman" w:hAnsi="Times New Roman" w:cs="Times New Roman"/>
          <w:b w:val="0"/>
          <w:bCs w:val="0"/>
          <w:sz w:val="36"/>
          <w:szCs w:val="36"/>
        </w:rPr>
      </w:pPr>
    </w:p>
    <w:p w14:paraId="1BC6D089">
      <w:pPr>
        <w:pStyle w:val="3"/>
        <w:spacing w:beforeLines="0" w:line="600" w:lineRule="exact"/>
        <w:rPr>
          <w:rFonts w:ascii="Times New Roman" w:hAnsi="Times New Roman" w:cs="Times New Roman"/>
          <w:b w:val="0"/>
          <w:bCs w:val="0"/>
          <w:sz w:val="36"/>
          <w:szCs w:val="36"/>
        </w:rPr>
      </w:pPr>
    </w:p>
    <w:p w14:paraId="63F34102">
      <w:pPr>
        <w:pStyle w:val="3"/>
        <w:spacing w:beforeLines="0" w:line="600" w:lineRule="exact"/>
        <w:rPr>
          <w:rFonts w:ascii="Times New Roman" w:hAnsi="Times New Roman" w:cs="Times New Roman"/>
          <w:b w:val="0"/>
          <w:bCs w:val="0"/>
          <w:sz w:val="36"/>
          <w:szCs w:val="36"/>
        </w:rPr>
      </w:pPr>
    </w:p>
    <w:p w14:paraId="3E907A78">
      <w:pPr>
        <w:pStyle w:val="3"/>
        <w:spacing w:beforeLines="0" w:line="600" w:lineRule="exact"/>
        <w:rPr>
          <w:rFonts w:ascii="Times New Roman" w:hAnsi="Times New Roman" w:cs="Times New Roman"/>
          <w:b w:val="0"/>
          <w:bCs w:val="0"/>
          <w:sz w:val="36"/>
          <w:szCs w:val="36"/>
        </w:rPr>
      </w:pPr>
    </w:p>
    <w:p w14:paraId="108413EF">
      <w:pPr>
        <w:pStyle w:val="3"/>
        <w:spacing w:beforeLines="0" w:line="600" w:lineRule="exact"/>
        <w:rPr>
          <w:rFonts w:ascii="Times New Roman" w:hAnsi="Times New Roman" w:cs="Times New Roman"/>
          <w:b w:val="0"/>
          <w:bCs w:val="0"/>
          <w:sz w:val="36"/>
          <w:szCs w:val="36"/>
        </w:rPr>
        <w:sectPr>
          <w:footerReference r:id="rId12" w:type="default"/>
          <w:footerReference r:id="rId13" w:type="even"/>
          <w:pgSz w:w="11906" w:h="16838"/>
          <w:pgMar w:top="2098" w:right="1531" w:bottom="1984" w:left="1531" w:header="851" w:footer="992" w:gutter="0"/>
          <w:pgNumType w:start="1"/>
          <w:cols w:space="0" w:num="1"/>
          <w:docGrid w:type="lines" w:linePitch="440" w:charSpace="0"/>
        </w:sectPr>
      </w:pPr>
      <w:bookmarkStart w:id="1" w:name="_Toc19869"/>
    </w:p>
    <w:p w14:paraId="092CCD91">
      <w:pPr>
        <w:pStyle w:val="3"/>
        <w:spacing w:beforeLines="0" w:line="600" w:lineRule="exact"/>
        <w:rPr>
          <w:rFonts w:ascii="Times New Roman" w:hAnsi="Times New Roman" w:cs="Times New Roman"/>
          <w:b w:val="0"/>
          <w:bCs w:val="0"/>
          <w:kern w:val="28"/>
          <w:sz w:val="36"/>
          <w:szCs w:val="36"/>
        </w:rPr>
      </w:pPr>
      <w:r>
        <w:rPr>
          <w:rFonts w:ascii="Times New Roman" w:hAnsi="Times New Roman" w:cs="Times New Roman"/>
          <w:b w:val="0"/>
          <w:bCs w:val="0"/>
          <w:sz w:val="36"/>
          <w:szCs w:val="36"/>
        </w:rPr>
        <w:t>第一章  发展基础</w:t>
      </w:r>
      <w:bookmarkEnd w:id="0"/>
      <w:bookmarkEnd w:id="1"/>
      <w:bookmarkStart w:id="2" w:name="_Toc51758626"/>
    </w:p>
    <w:p w14:paraId="70CBF888">
      <w:pPr>
        <w:pStyle w:val="3"/>
        <w:spacing w:beforeLines="0" w:line="600" w:lineRule="exact"/>
        <w:rPr>
          <w:rFonts w:ascii="Times New Roman" w:hAnsi="Times New Roman" w:cs="Times New Roman"/>
          <w:b w:val="0"/>
          <w:bCs w:val="0"/>
          <w:kern w:val="28"/>
          <w:sz w:val="36"/>
          <w:szCs w:val="36"/>
        </w:rPr>
      </w:pPr>
    </w:p>
    <w:p w14:paraId="50F35AD3">
      <w:pPr>
        <w:pStyle w:val="4"/>
        <w:keepNext w:val="0"/>
        <w:keepLines w:val="0"/>
        <w:widowControl w:val="0"/>
        <w:spacing w:beforeLines="0" w:afterLines="0"/>
        <w:ind w:firstLine="640"/>
        <w:rPr>
          <w:rFonts w:eastAsia="方正黑体_GBK"/>
          <w:b w:val="0"/>
          <w:bCs w:val="0"/>
          <w:kern w:val="28"/>
        </w:rPr>
      </w:pPr>
      <w:bookmarkStart w:id="3" w:name="_Toc19569"/>
      <w:r>
        <w:rPr>
          <w:rFonts w:eastAsia="方正黑体_GBK"/>
          <w:b w:val="0"/>
          <w:bCs w:val="0"/>
          <w:kern w:val="28"/>
        </w:rPr>
        <w:t>一、发展成就</w:t>
      </w:r>
      <w:bookmarkEnd w:id="2"/>
      <w:bookmarkEnd w:id="3"/>
    </w:p>
    <w:p w14:paraId="660D208C">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十三五</w:t>
      </w:r>
      <w:r>
        <w:rPr>
          <w:rFonts w:hint="eastAsia" w:ascii="Times New Roman" w:hAnsi="Times New Roman"/>
          <w:szCs w:val="32"/>
        </w:rPr>
        <w:t>”</w:t>
      </w:r>
      <w:r>
        <w:rPr>
          <w:rFonts w:ascii="Times New Roman" w:hAnsi="Times New Roman"/>
          <w:szCs w:val="32"/>
        </w:rPr>
        <w:t>期间，丰都交通始终以习近平新时代中国特色社会主义思想为指导，以人民为中心，以供给侧结构性改革为主线，以生态优先、绿色发展为主题，牢牢把握交通高质量发展要求，以</w:t>
      </w:r>
      <w:r>
        <w:rPr>
          <w:rFonts w:hint="eastAsia" w:ascii="Times New Roman" w:hAnsi="Times New Roman"/>
          <w:szCs w:val="32"/>
        </w:rPr>
        <w:t>“</w:t>
      </w:r>
      <w:r>
        <w:rPr>
          <w:rFonts w:ascii="Times New Roman" w:hAnsi="Times New Roman"/>
          <w:szCs w:val="32"/>
        </w:rPr>
        <w:t>打造枢纽、完善功能、建管并重、依法治交</w:t>
      </w:r>
      <w:r>
        <w:rPr>
          <w:rFonts w:hint="eastAsia" w:ascii="Times New Roman" w:hAnsi="Times New Roman"/>
          <w:szCs w:val="32"/>
        </w:rPr>
        <w:t>”</w:t>
      </w:r>
      <w:r>
        <w:rPr>
          <w:rFonts w:ascii="Times New Roman" w:hAnsi="Times New Roman"/>
          <w:szCs w:val="32"/>
        </w:rPr>
        <w:t>为思路，以交通大会战和交通建设三年行动计划为抓手，以</w:t>
      </w:r>
      <w:r>
        <w:rPr>
          <w:rFonts w:hint="eastAsia" w:ascii="Times New Roman" w:hAnsi="Times New Roman"/>
          <w:szCs w:val="32"/>
        </w:rPr>
        <w:t>“</w:t>
      </w:r>
      <w:r>
        <w:rPr>
          <w:rFonts w:ascii="Times New Roman" w:hAnsi="Times New Roman"/>
          <w:szCs w:val="32"/>
        </w:rPr>
        <w:t>建设人民满意交通</w:t>
      </w:r>
      <w:r>
        <w:rPr>
          <w:rFonts w:hint="eastAsia" w:ascii="Times New Roman" w:hAnsi="Times New Roman"/>
          <w:szCs w:val="32"/>
        </w:rPr>
        <w:t>”</w:t>
      </w:r>
      <w:r>
        <w:rPr>
          <w:rFonts w:ascii="Times New Roman" w:hAnsi="Times New Roman"/>
          <w:szCs w:val="32"/>
        </w:rPr>
        <w:t>为奋斗目标，加快推进交通基础设施建设，着力构建综合交通枢纽，初步形成了</w:t>
      </w:r>
      <w:r>
        <w:rPr>
          <w:rFonts w:hint="eastAsia" w:ascii="Times New Roman" w:hAnsi="Times New Roman"/>
          <w:szCs w:val="32"/>
        </w:rPr>
        <w:t>“</w:t>
      </w:r>
      <w:r>
        <w:rPr>
          <w:rFonts w:ascii="Times New Roman" w:hAnsi="Times New Roman"/>
          <w:szCs w:val="32"/>
        </w:rPr>
        <w:t>内外一体、高效便捷</w:t>
      </w:r>
      <w:r>
        <w:rPr>
          <w:rFonts w:hint="eastAsia" w:ascii="Times New Roman" w:hAnsi="Times New Roman"/>
          <w:szCs w:val="32"/>
        </w:rPr>
        <w:t>”</w:t>
      </w:r>
      <w:r>
        <w:rPr>
          <w:rFonts w:ascii="Times New Roman" w:hAnsi="Times New Roman"/>
          <w:szCs w:val="32"/>
        </w:rPr>
        <w:t>的大交通格局。</w:t>
      </w:r>
      <w:bookmarkStart w:id="4" w:name="_Toc51758627"/>
    </w:p>
    <w:p w14:paraId="6E85DAF9">
      <w:pPr>
        <w:pStyle w:val="5"/>
        <w:keepNext w:val="0"/>
        <w:keepLines w:val="0"/>
        <w:spacing w:line="600" w:lineRule="exact"/>
        <w:ind w:firstLine="640" w:firstLineChars="200"/>
        <w:rPr>
          <w:b w:val="0"/>
          <w:bCs w:val="0"/>
        </w:rPr>
      </w:pPr>
      <w:bookmarkStart w:id="5" w:name="_Toc84870237"/>
      <w:bookmarkStart w:id="6" w:name="_Toc2124"/>
      <w:bookmarkStart w:id="7" w:name="_Toc30791"/>
      <w:r>
        <w:rPr>
          <w:b w:val="0"/>
          <w:bCs w:val="0"/>
        </w:rPr>
        <w:t>（一）对外通道长远谋划，区域枢纽地位凸显</w:t>
      </w:r>
      <w:bookmarkEnd w:id="5"/>
      <w:bookmarkEnd w:id="6"/>
      <w:bookmarkEnd w:id="7"/>
    </w:p>
    <w:bookmarkEnd w:id="4"/>
    <w:p w14:paraId="6D0399D7">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十三五</w:t>
      </w:r>
      <w:r>
        <w:rPr>
          <w:rFonts w:hint="eastAsia" w:ascii="Times New Roman" w:hAnsi="Times New Roman"/>
          <w:szCs w:val="32"/>
        </w:rPr>
        <w:t>”</w:t>
      </w:r>
      <w:r>
        <w:rPr>
          <w:rFonts w:ascii="Times New Roman" w:hAnsi="Times New Roman"/>
          <w:szCs w:val="32"/>
        </w:rPr>
        <w:t>期间共完成交通固定资产投资52亿元，初步形成了</w:t>
      </w:r>
      <w:r>
        <w:rPr>
          <w:rFonts w:hint="eastAsia" w:ascii="Times New Roman" w:hAnsi="Times New Roman"/>
          <w:szCs w:val="32"/>
        </w:rPr>
        <w:t>“</w:t>
      </w:r>
      <w:r>
        <w:rPr>
          <w:rFonts w:ascii="Times New Roman" w:hAnsi="Times New Roman"/>
          <w:szCs w:val="32"/>
        </w:rPr>
        <w:t>承接主城、联动两群、内外一体、高效便捷</w:t>
      </w:r>
      <w:r>
        <w:rPr>
          <w:rFonts w:hint="eastAsia" w:ascii="Times New Roman" w:hAnsi="Times New Roman"/>
          <w:szCs w:val="32"/>
        </w:rPr>
        <w:t>”</w:t>
      </w:r>
      <w:r>
        <w:rPr>
          <w:rFonts w:ascii="Times New Roman" w:hAnsi="Times New Roman"/>
          <w:szCs w:val="32"/>
        </w:rPr>
        <w:t>的</w:t>
      </w:r>
      <w:r>
        <w:rPr>
          <w:rFonts w:hint="eastAsia" w:ascii="Times New Roman" w:hAnsi="Times New Roman"/>
          <w:szCs w:val="32"/>
        </w:rPr>
        <w:t>“</w:t>
      </w:r>
      <w:r>
        <w:rPr>
          <w:rFonts w:ascii="Times New Roman" w:hAnsi="Times New Roman"/>
          <w:szCs w:val="32"/>
        </w:rPr>
        <w:t>铁、公、水</w:t>
      </w:r>
      <w:r>
        <w:rPr>
          <w:rFonts w:hint="eastAsia" w:ascii="Times New Roman" w:hAnsi="Times New Roman"/>
          <w:szCs w:val="32"/>
        </w:rPr>
        <w:t>”</w:t>
      </w:r>
      <w:r>
        <w:rPr>
          <w:rFonts w:ascii="Times New Roman" w:hAnsi="Times New Roman"/>
          <w:szCs w:val="32"/>
        </w:rPr>
        <w:t>大交通枢纽格局，进入了</w:t>
      </w:r>
      <w:r>
        <w:rPr>
          <w:rFonts w:hint="eastAsia" w:ascii="Times New Roman" w:hAnsi="Times New Roman"/>
          <w:szCs w:val="32"/>
        </w:rPr>
        <w:t>“</w:t>
      </w:r>
      <w:r>
        <w:rPr>
          <w:rFonts w:ascii="Times New Roman" w:hAnsi="Times New Roman"/>
          <w:szCs w:val="32"/>
        </w:rPr>
        <w:t>全市1小时通勤圈</w:t>
      </w:r>
      <w:r>
        <w:rPr>
          <w:rFonts w:hint="eastAsia" w:ascii="Times New Roman" w:hAnsi="Times New Roman"/>
          <w:szCs w:val="32"/>
        </w:rPr>
        <w:t>”</w:t>
      </w:r>
      <w:r>
        <w:rPr>
          <w:rFonts w:ascii="Times New Roman" w:hAnsi="Times New Roman"/>
          <w:szCs w:val="32"/>
        </w:rPr>
        <w:t>，交通基础网络覆盖广泛，交通大动脉初具雏形，交通枢纽地位更加凸显。</w:t>
      </w:r>
    </w:p>
    <w:p w14:paraId="689E4342">
      <w:pPr>
        <w:spacing w:line="600" w:lineRule="exact"/>
        <w:ind w:firstLine="640" w:firstLineChars="200"/>
        <w:rPr>
          <w:rFonts w:ascii="Times New Roman" w:hAnsi="Times New Roman"/>
          <w:szCs w:val="32"/>
        </w:rPr>
      </w:pPr>
      <w:r>
        <w:rPr>
          <w:rFonts w:ascii="Times New Roman" w:hAnsi="Times New Roman"/>
          <w:szCs w:val="32"/>
        </w:rPr>
        <w:t>1. 铁路建设</w:t>
      </w:r>
      <w:r>
        <w:rPr>
          <w:rFonts w:hint="eastAsia" w:ascii="Times New Roman" w:hAnsi="Times New Roman"/>
          <w:szCs w:val="32"/>
        </w:rPr>
        <w:t>“</w:t>
      </w:r>
      <w:r>
        <w:rPr>
          <w:rFonts w:ascii="Times New Roman" w:hAnsi="Times New Roman"/>
          <w:szCs w:val="32"/>
        </w:rPr>
        <w:t>加速度</w:t>
      </w:r>
      <w:r>
        <w:rPr>
          <w:rFonts w:hint="eastAsia" w:ascii="Times New Roman" w:hAnsi="Times New Roman"/>
          <w:szCs w:val="32"/>
        </w:rPr>
        <w:t>”</w:t>
      </w:r>
      <w:r>
        <w:rPr>
          <w:rFonts w:ascii="Times New Roman" w:hAnsi="Times New Roman"/>
          <w:szCs w:val="32"/>
        </w:rPr>
        <w:t>。上位规划支撑力度逐步加强，由东西向渝利铁路、渝万高铁、渝宜高铁和南北向广忠黔铁路共同组成的铁路布局基本成型。多条铁路重大项目纳入上位规划，形成以长江为轴，江北江南两岸高速铁路和普速铁路双通道的干线铁路网。</w:t>
      </w:r>
    </w:p>
    <w:p w14:paraId="2512A492">
      <w:pPr>
        <w:spacing w:line="600" w:lineRule="exact"/>
        <w:ind w:firstLine="640" w:firstLineChars="200"/>
        <w:rPr>
          <w:rFonts w:ascii="Times New Roman" w:hAnsi="Times New Roman"/>
          <w:szCs w:val="32"/>
        </w:rPr>
      </w:pPr>
      <w:r>
        <w:rPr>
          <w:rFonts w:ascii="Times New Roman" w:hAnsi="Times New Roman"/>
          <w:szCs w:val="32"/>
        </w:rPr>
        <w:t>2. 高速公路</w:t>
      </w:r>
      <w:r>
        <w:rPr>
          <w:rFonts w:hint="eastAsia" w:ascii="Times New Roman" w:hAnsi="Times New Roman"/>
          <w:szCs w:val="32"/>
        </w:rPr>
        <w:t>“</w:t>
      </w:r>
      <w:r>
        <w:rPr>
          <w:rFonts w:ascii="Times New Roman" w:hAnsi="Times New Roman"/>
          <w:szCs w:val="32"/>
        </w:rPr>
        <w:t>加密度</w:t>
      </w:r>
      <w:r>
        <w:rPr>
          <w:rFonts w:hint="eastAsia" w:ascii="Times New Roman" w:hAnsi="Times New Roman"/>
          <w:szCs w:val="32"/>
        </w:rPr>
        <w:t>”</w:t>
      </w:r>
      <w:r>
        <w:rPr>
          <w:rFonts w:ascii="Times New Roman" w:hAnsi="Times New Roman"/>
          <w:szCs w:val="32"/>
        </w:rPr>
        <w:t>。建成高速公路64公里，丰石高速公路丰都段建设已经完工。沿江北线高速丰都段、垫丰武高速公路2条拟建高速公路前期工作积极推进，联通东西、纵贯南北的高速公路网格局全面形成，高速公路总里程达到136公里，密度达到4.69公里/百平方公里。</w:t>
      </w:r>
    </w:p>
    <w:p w14:paraId="0A7A81AF">
      <w:pPr>
        <w:spacing w:line="600" w:lineRule="exact"/>
        <w:ind w:firstLine="640" w:firstLineChars="200"/>
        <w:rPr>
          <w:rFonts w:ascii="Times New Roman" w:hAnsi="Times New Roman"/>
          <w:szCs w:val="32"/>
        </w:rPr>
      </w:pPr>
      <w:r>
        <w:rPr>
          <w:rFonts w:ascii="Times New Roman" w:hAnsi="Times New Roman"/>
          <w:szCs w:val="32"/>
        </w:rPr>
        <w:t>3. 水运港口</w:t>
      </w:r>
      <w:r>
        <w:rPr>
          <w:rFonts w:hint="eastAsia" w:ascii="Times New Roman" w:hAnsi="Times New Roman"/>
          <w:szCs w:val="32"/>
        </w:rPr>
        <w:t>“</w:t>
      </w:r>
      <w:r>
        <w:rPr>
          <w:rFonts w:ascii="Times New Roman" w:hAnsi="Times New Roman"/>
          <w:szCs w:val="32"/>
        </w:rPr>
        <w:t>加能力</w:t>
      </w:r>
      <w:r>
        <w:rPr>
          <w:rFonts w:hint="eastAsia" w:ascii="Times New Roman" w:hAnsi="Times New Roman"/>
          <w:szCs w:val="32"/>
        </w:rPr>
        <w:t>”</w:t>
      </w:r>
      <w:r>
        <w:rPr>
          <w:rFonts w:ascii="Times New Roman" w:hAnsi="Times New Roman"/>
          <w:szCs w:val="32"/>
        </w:rPr>
        <w:t>。长江二桥建成通车，全年深水位码头水天坪码头一期工程建成试运行、二期工程（一类口岸）前期工作有序推进，水天坪枢纽港列为国家一类内河开放口岸，名山游轮辅港、玉溪物流港等港区基础设施建设加快，港口功能进一步提升，长江黄金水道的水运优势得到切实发挥，联结</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的沿江通道作用日益凸显。</w:t>
      </w:r>
    </w:p>
    <w:p w14:paraId="2FBF30F8">
      <w:pPr>
        <w:spacing w:line="600" w:lineRule="exact"/>
        <w:ind w:firstLine="640" w:firstLineChars="200"/>
        <w:rPr>
          <w:rFonts w:ascii="Times New Roman" w:hAnsi="Times New Roman"/>
          <w:szCs w:val="32"/>
        </w:rPr>
      </w:pPr>
      <w:r>
        <w:rPr>
          <w:rFonts w:ascii="Times New Roman" w:hAnsi="Times New Roman"/>
          <w:szCs w:val="32"/>
        </w:rPr>
        <w:t>4. 通用航空</w:t>
      </w:r>
      <w:r>
        <w:rPr>
          <w:rFonts w:hint="eastAsia" w:ascii="Times New Roman" w:hAnsi="Times New Roman"/>
          <w:szCs w:val="32"/>
        </w:rPr>
        <w:t>“</w:t>
      </w:r>
      <w:r>
        <w:rPr>
          <w:rFonts w:ascii="Times New Roman" w:hAnsi="Times New Roman"/>
          <w:szCs w:val="32"/>
        </w:rPr>
        <w:t>新突破</w:t>
      </w:r>
      <w:r>
        <w:rPr>
          <w:rFonts w:hint="eastAsia" w:ascii="Times New Roman" w:hAnsi="Times New Roman"/>
          <w:szCs w:val="32"/>
        </w:rPr>
        <w:t>”</w:t>
      </w:r>
      <w:r>
        <w:rPr>
          <w:rFonts w:ascii="Times New Roman" w:hAnsi="Times New Roman"/>
          <w:szCs w:val="32"/>
        </w:rPr>
        <w:t>。通用机场前期工作有序推进，已确定为A1类通用机场，《丰都通用机场项目建议案》编制进展顺利，通用航空即将实现历史性突破。</w:t>
      </w:r>
    </w:p>
    <w:p w14:paraId="086BB6E8">
      <w:pPr>
        <w:spacing w:line="600" w:lineRule="exact"/>
        <w:ind w:firstLine="640" w:firstLineChars="200"/>
        <w:rPr>
          <w:rFonts w:ascii="Times New Roman" w:hAnsi="Times New Roman"/>
          <w:szCs w:val="32"/>
        </w:rPr>
      </w:pPr>
      <w:r>
        <w:rPr>
          <w:rFonts w:ascii="Times New Roman" w:hAnsi="Times New Roman"/>
          <w:szCs w:val="32"/>
        </w:rPr>
        <w:t>5. 综合枢纽</w:t>
      </w:r>
      <w:r>
        <w:rPr>
          <w:rFonts w:hint="eastAsia" w:ascii="Times New Roman" w:hAnsi="Times New Roman"/>
          <w:szCs w:val="32"/>
        </w:rPr>
        <w:t>“</w:t>
      </w:r>
      <w:r>
        <w:rPr>
          <w:rFonts w:ascii="Times New Roman" w:hAnsi="Times New Roman"/>
          <w:szCs w:val="32"/>
        </w:rPr>
        <w:t>加力度</w:t>
      </w:r>
      <w:r>
        <w:rPr>
          <w:rFonts w:hint="eastAsia" w:ascii="Times New Roman" w:hAnsi="Times New Roman"/>
          <w:szCs w:val="32"/>
        </w:rPr>
        <w:t>”</w:t>
      </w:r>
      <w:r>
        <w:rPr>
          <w:rFonts w:ascii="Times New Roman" w:hAnsi="Times New Roman"/>
          <w:szCs w:val="32"/>
        </w:rPr>
        <w:t>。全县</w:t>
      </w:r>
      <w:r>
        <w:rPr>
          <w:rFonts w:hint="eastAsia" w:ascii="Times New Roman" w:hAnsi="Times New Roman"/>
          <w:szCs w:val="32"/>
        </w:rPr>
        <w:t>“</w:t>
      </w:r>
      <w:r>
        <w:rPr>
          <w:rFonts w:ascii="Times New Roman" w:hAnsi="Times New Roman"/>
          <w:szCs w:val="32"/>
        </w:rPr>
        <w:t>功能齐全、结构合理、衔接顺畅</w:t>
      </w:r>
      <w:r>
        <w:rPr>
          <w:rFonts w:hint="eastAsia" w:ascii="Times New Roman" w:hAnsi="Times New Roman"/>
          <w:szCs w:val="32"/>
        </w:rPr>
        <w:t>”</w:t>
      </w:r>
      <w:r>
        <w:rPr>
          <w:rFonts w:ascii="Times New Roman" w:hAnsi="Times New Roman"/>
          <w:szCs w:val="32"/>
        </w:rPr>
        <w:t>的枢纽体系稳步推进，交通枢纽换乘站、公交首末站建成投用。南北两岸旅游客运中心、公交站点、乡镇客运换乘站建设有序推进。依托规划港口码头，积极推进</w:t>
      </w:r>
      <w:r>
        <w:rPr>
          <w:rFonts w:hint="eastAsia" w:ascii="Times New Roman" w:hAnsi="Times New Roman"/>
          <w:szCs w:val="32"/>
        </w:rPr>
        <w:t>“</w:t>
      </w:r>
      <w:r>
        <w:rPr>
          <w:rFonts w:ascii="Times New Roman" w:hAnsi="Times New Roman"/>
          <w:szCs w:val="32"/>
        </w:rPr>
        <w:t>前港后园</w:t>
      </w:r>
      <w:r>
        <w:rPr>
          <w:rFonts w:hint="eastAsia" w:ascii="Times New Roman" w:hAnsi="Times New Roman"/>
          <w:szCs w:val="32"/>
        </w:rPr>
        <w:t>”</w:t>
      </w:r>
      <w:r>
        <w:rPr>
          <w:rFonts w:ascii="Times New Roman" w:hAnsi="Times New Roman"/>
          <w:szCs w:val="32"/>
        </w:rPr>
        <w:t>的物流园区建设，大力发展交通物流产业，有力助推了绿色工业发展。</w:t>
      </w:r>
    </w:p>
    <w:p w14:paraId="3F3B2F8A">
      <w:pPr>
        <w:pStyle w:val="5"/>
        <w:keepNext w:val="0"/>
        <w:keepLines w:val="0"/>
        <w:spacing w:line="600" w:lineRule="exact"/>
        <w:ind w:firstLine="640" w:firstLineChars="200"/>
        <w:rPr>
          <w:b w:val="0"/>
          <w:bCs w:val="0"/>
        </w:rPr>
      </w:pPr>
      <w:bookmarkStart w:id="8" w:name="_Toc51758629"/>
      <w:bookmarkStart w:id="9" w:name="_Toc29746"/>
      <w:bookmarkStart w:id="10" w:name="_Toc11329"/>
      <w:bookmarkStart w:id="11" w:name="_Toc84870238"/>
      <w:r>
        <w:rPr>
          <w:b w:val="0"/>
          <w:bCs w:val="0"/>
        </w:rPr>
        <w:t>（二）</w:t>
      </w:r>
      <w:bookmarkEnd w:id="8"/>
      <w:r>
        <w:rPr>
          <w:b w:val="0"/>
          <w:bCs w:val="0"/>
        </w:rPr>
        <w:t>区域路网日趋完善，脱贫攻坚纵深推进</w:t>
      </w:r>
      <w:bookmarkEnd w:id="9"/>
      <w:bookmarkEnd w:id="10"/>
      <w:bookmarkEnd w:id="11"/>
    </w:p>
    <w:p w14:paraId="46E5B34C">
      <w:pPr>
        <w:spacing w:line="600" w:lineRule="exact"/>
        <w:ind w:firstLine="640" w:firstLineChars="200"/>
        <w:rPr>
          <w:rFonts w:ascii="Times New Roman" w:hAnsi="Times New Roman"/>
          <w:szCs w:val="32"/>
        </w:rPr>
      </w:pPr>
      <w:r>
        <w:rPr>
          <w:rFonts w:ascii="Times New Roman" w:hAnsi="Times New Roman"/>
          <w:szCs w:val="32"/>
        </w:rPr>
        <w:t>1. 路网规模全市前列。到2020年，全县公路总里程达到7229公里，位居全市前列，较</w:t>
      </w:r>
      <w:r>
        <w:rPr>
          <w:rFonts w:hint="eastAsia" w:ascii="Times New Roman" w:hAnsi="Times New Roman"/>
          <w:szCs w:val="32"/>
        </w:rPr>
        <w:t>“</w:t>
      </w:r>
      <w:r>
        <w:rPr>
          <w:rFonts w:ascii="Times New Roman" w:hAnsi="Times New Roman"/>
          <w:szCs w:val="32"/>
        </w:rPr>
        <w:t>十二五</w:t>
      </w:r>
      <w:r>
        <w:rPr>
          <w:rFonts w:hint="eastAsia" w:ascii="Times New Roman" w:hAnsi="Times New Roman"/>
          <w:szCs w:val="32"/>
        </w:rPr>
        <w:t>”</w:t>
      </w:r>
      <w:r>
        <w:rPr>
          <w:rFonts w:ascii="Times New Roman" w:hAnsi="Times New Roman"/>
          <w:szCs w:val="32"/>
        </w:rPr>
        <w:t>末增长1745公里，增幅达29%。其中高速公路64公里，国道110公里、省道397公里、县道323公里、乡道571公里、村道5762公里，公路密度达到247公里/百平方公里，超出全市平均水平。</w:t>
      </w:r>
    </w:p>
    <w:p w14:paraId="13556195">
      <w:pPr>
        <w:spacing w:line="600" w:lineRule="exact"/>
        <w:ind w:firstLine="640" w:firstLineChars="200"/>
        <w:rPr>
          <w:rFonts w:ascii="Times New Roman" w:hAnsi="Times New Roman"/>
          <w:szCs w:val="32"/>
        </w:rPr>
      </w:pPr>
      <w:r>
        <w:rPr>
          <w:rFonts w:ascii="Times New Roman" w:hAnsi="Times New Roman"/>
          <w:szCs w:val="32"/>
        </w:rPr>
        <w:t>2. 干线公路内畅外联。国省道总里程达到507公里，较</w:t>
      </w:r>
      <w:r>
        <w:rPr>
          <w:rFonts w:hint="eastAsia" w:ascii="Times New Roman" w:hAnsi="Times New Roman"/>
          <w:szCs w:val="32"/>
        </w:rPr>
        <w:t>“</w:t>
      </w:r>
      <w:r>
        <w:rPr>
          <w:rFonts w:ascii="Times New Roman" w:hAnsi="Times New Roman"/>
          <w:szCs w:val="32"/>
        </w:rPr>
        <w:t>十二五</w:t>
      </w:r>
      <w:r>
        <w:rPr>
          <w:rFonts w:hint="eastAsia" w:ascii="Times New Roman" w:hAnsi="Times New Roman"/>
          <w:szCs w:val="32"/>
        </w:rPr>
        <w:t>”</w:t>
      </w:r>
      <w:r>
        <w:rPr>
          <w:rFonts w:ascii="Times New Roman" w:hAnsi="Times New Roman"/>
          <w:szCs w:val="32"/>
        </w:rPr>
        <w:t>末增长了48%。国道实现历史性突破，升格普通国道2条，分别为G348、G351，总里程110公里；普通省道7条，分别为S102、S204、S205、S512、S518、S519、S520，总里程397公里。</w:t>
      </w:r>
    </w:p>
    <w:p w14:paraId="204D65D3">
      <w:pPr>
        <w:spacing w:line="600" w:lineRule="exact"/>
        <w:ind w:firstLine="640" w:firstLineChars="200"/>
        <w:rPr>
          <w:rFonts w:ascii="Times New Roman" w:hAnsi="Times New Roman"/>
          <w:szCs w:val="32"/>
        </w:rPr>
      </w:pPr>
      <w:r>
        <w:rPr>
          <w:rFonts w:ascii="Times New Roman" w:hAnsi="Times New Roman"/>
          <w:szCs w:val="32"/>
        </w:rPr>
        <w:t>3. 农村公路覆盖广泛。持续推进农村公路建设，建成</w:t>
      </w:r>
      <w:r>
        <w:rPr>
          <w:rFonts w:hint="eastAsia" w:ascii="Times New Roman" w:hAnsi="Times New Roman"/>
          <w:szCs w:val="32"/>
        </w:rPr>
        <w:t>“</w:t>
      </w:r>
      <w:r>
        <w:rPr>
          <w:rFonts w:ascii="Times New Roman" w:hAnsi="Times New Roman"/>
          <w:szCs w:val="32"/>
        </w:rPr>
        <w:t>四好农村路</w:t>
      </w:r>
      <w:r>
        <w:rPr>
          <w:rFonts w:hint="eastAsia" w:ascii="Times New Roman" w:hAnsi="Times New Roman"/>
          <w:szCs w:val="32"/>
        </w:rPr>
        <w:t>”</w:t>
      </w:r>
      <w:r>
        <w:rPr>
          <w:rFonts w:ascii="Times New Roman" w:hAnsi="Times New Roman"/>
          <w:szCs w:val="32"/>
        </w:rPr>
        <w:t>2922公里，助力脱贫攻坚，总里程达到6656公里。先后实现了乡镇通畅率、行政村通畅率、撤并村通达率、符合通农客条件的行政村通农客率</w:t>
      </w:r>
      <w:r>
        <w:rPr>
          <w:rFonts w:hint="eastAsia" w:ascii="Times New Roman" w:hAnsi="Times New Roman"/>
          <w:szCs w:val="32"/>
        </w:rPr>
        <w:t>“</w:t>
      </w:r>
      <w:r>
        <w:rPr>
          <w:rFonts w:ascii="Times New Roman" w:hAnsi="Times New Roman"/>
          <w:szCs w:val="32"/>
        </w:rPr>
        <w:t>4个100%</w:t>
      </w:r>
      <w:r>
        <w:rPr>
          <w:rFonts w:hint="eastAsia" w:ascii="Times New Roman" w:hAnsi="Times New Roman"/>
          <w:szCs w:val="32"/>
        </w:rPr>
        <w:t>”</w:t>
      </w:r>
      <w:r>
        <w:rPr>
          <w:rFonts w:ascii="Times New Roman" w:hAnsi="Times New Roman"/>
          <w:szCs w:val="32"/>
        </w:rPr>
        <w:t>。建设完成</w:t>
      </w:r>
      <w:r>
        <w:rPr>
          <w:rFonts w:hint="eastAsia" w:ascii="Times New Roman" w:hAnsi="Times New Roman"/>
          <w:szCs w:val="32"/>
        </w:rPr>
        <w:t>“</w:t>
      </w:r>
      <w:r>
        <w:rPr>
          <w:rFonts w:ascii="Times New Roman" w:hAnsi="Times New Roman"/>
          <w:szCs w:val="32"/>
        </w:rPr>
        <w:t>四好农村路</w:t>
      </w:r>
      <w:r>
        <w:rPr>
          <w:rFonts w:hint="eastAsia" w:ascii="Times New Roman" w:hAnsi="Times New Roman"/>
          <w:szCs w:val="32"/>
        </w:rPr>
        <w:t>”</w:t>
      </w:r>
      <w:r>
        <w:rPr>
          <w:rFonts w:ascii="Times New Roman" w:hAnsi="Times New Roman"/>
          <w:szCs w:val="32"/>
        </w:rPr>
        <w:t>监管平台，实现农村公路项目精细化管理。</w:t>
      </w:r>
    </w:p>
    <w:p w14:paraId="12044821">
      <w:pPr>
        <w:spacing w:line="600" w:lineRule="exact"/>
        <w:ind w:firstLine="482"/>
        <w:jc w:val="center"/>
        <w:rPr>
          <w:rFonts w:ascii="Times New Roman" w:hAnsi="Times New Roman"/>
          <w:szCs w:val="32"/>
        </w:rPr>
      </w:pPr>
      <w:bookmarkStart w:id="12" w:name="_Toc51758630"/>
      <w:r>
        <w:rPr>
          <w:rFonts w:ascii="Times New Roman" w:hAnsi="Times New Roman"/>
          <w:szCs w:val="32"/>
        </w:rPr>
        <w:t>表1</w:t>
      </w:r>
      <w:r>
        <w:rPr>
          <w:rFonts w:hint="eastAsia" w:ascii="Times New Roman" w:hAnsi="Times New Roman"/>
          <w:szCs w:val="32"/>
        </w:rPr>
        <w:t>-</w:t>
      </w:r>
      <w:r>
        <w:rPr>
          <w:rFonts w:ascii="Times New Roman" w:hAnsi="Times New Roman"/>
          <w:szCs w:val="32"/>
        </w:rPr>
        <w:t>1 相邻区县截</w:t>
      </w:r>
      <w:r>
        <w:rPr>
          <w:rFonts w:hint="eastAsia" w:ascii="Times New Roman" w:hAnsi="Times New Roman"/>
          <w:szCs w:val="32"/>
        </w:rPr>
        <w:t>至</w:t>
      </w:r>
      <w:r>
        <w:rPr>
          <w:rFonts w:ascii="Times New Roman" w:hAnsi="Times New Roman"/>
          <w:szCs w:val="32"/>
        </w:rPr>
        <w:t>2020年底公路里程对比表</w:t>
      </w:r>
    </w:p>
    <w:tbl>
      <w:tblPr>
        <w:tblStyle w:val="13"/>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964"/>
        <w:gridCol w:w="964"/>
        <w:gridCol w:w="964"/>
        <w:gridCol w:w="964"/>
        <w:gridCol w:w="964"/>
        <w:gridCol w:w="964"/>
        <w:gridCol w:w="964"/>
        <w:gridCol w:w="964"/>
      </w:tblGrid>
      <w:tr w14:paraId="5CE2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31" w:type="dxa"/>
            <w:vAlign w:val="center"/>
          </w:tcPr>
          <w:p w14:paraId="7540E375">
            <w:pPr>
              <w:spacing w:line="400" w:lineRule="exact"/>
              <w:jc w:val="center"/>
              <w:rPr>
                <w:rFonts w:ascii="Times New Roman" w:hAnsi="Times New Roman"/>
                <w:szCs w:val="32"/>
              </w:rPr>
            </w:pPr>
            <w:r>
              <w:rPr>
                <w:rFonts w:ascii="Times New Roman" w:hAnsi="Times New Roman"/>
                <w:szCs w:val="32"/>
              </w:rPr>
              <w:t>区县名称</w:t>
            </w:r>
          </w:p>
        </w:tc>
        <w:tc>
          <w:tcPr>
            <w:tcW w:w="964" w:type="dxa"/>
            <w:vAlign w:val="center"/>
          </w:tcPr>
          <w:p w14:paraId="2FFC1575">
            <w:pPr>
              <w:spacing w:line="400" w:lineRule="exact"/>
              <w:jc w:val="center"/>
              <w:rPr>
                <w:rFonts w:ascii="Times New Roman" w:hAnsi="Times New Roman"/>
                <w:szCs w:val="32"/>
              </w:rPr>
            </w:pPr>
            <w:r>
              <w:rPr>
                <w:rFonts w:ascii="Times New Roman" w:hAnsi="Times New Roman"/>
                <w:szCs w:val="32"/>
              </w:rPr>
              <w:t>丰都</w:t>
            </w:r>
          </w:p>
        </w:tc>
        <w:tc>
          <w:tcPr>
            <w:tcW w:w="964" w:type="dxa"/>
            <w:vAlign w:val="center"/>
          </w:tcPr>
          <w:p w14:paraId="239230C0">
            <w:pPr>
              <w:spacing w:line="400" w:lineRule="exact"/>
              <w:jc w:val="center"/>
              <w:rPr>
                <w:rFonts w:ascii="Times New Roman" w:hAnsi="Times New Roman"/>
                <w:szCs w:val="32"/>
              </w:rPr>
            </w:pPr>
            <w:r>
              <w:rPr>
                <w:rFonts w:ascii="Times New Roman" w:hAnsi="Times New Roman"/>
                <w:szCs w:val="32"/>
              </w:rPr>
              <w:t>垫江</w:t>
            </w:r>
          </w:p>
        </w:tc>
        <w:tc>
          <w:tcPr>
            <w:tcW w:w="964" w:type="dxa"/>
            <w:vAlign w:val="center"/>
          </w:tcPr>
          <w:p w14:paraId="5FBCC427">
            <w:pPr>
              <w:spacing w:line="400" w:lineRule="exact"/>
              <w:jc w:val="center"/>
              <w:rPr>
                <w:rFonts w:ascii="Times New Roman" w:hAnsi="Times New Roman"/>
                <w:szCs w:val="32"/>
              </w:rPr>
            </w:pPr>
            <w:r>
              <w:rPr>
                <w:rFonts w:ascii="Times New Roman" w:hAnsi="Times New Roman"/>
                <w:szCs w:val="32"/>
              </w:rPr>
              <w:t>忠县</w:t>
            </w:r>
          </w:p>
        </w:tc>
        <w:tc>
          <w:tcPr>
            <w:tcW w:w="964" w:type="dxa"/>
            <w:vAlign w:val="center"/>
          </w:tcPr>
          <w:p w14:paraId="77A01A56">
            <w:pPr>
              <w:spacing w:line="400" w:lineRule="exact"/>
              <w:jc w:val="center"/>
              <w:rPr>
                <w:rFonts w:ascii="Times New Roman" w:hAnsi="Times New Roman"/>
                <w:szCs w:val="32"/>
              </w:rPr>
            </w:pPr>
            <w:r>
              <w:rPr>
                <w:rFonts w:ascii="Times New Roman" w:hAnsi="Times New Roman"/>
                <w:szCs w:val="32"/>
              </w:rPr>
              <w:t>石柱</w:t>
            </w:r>
          </w:p>
        </w:tc>
        <w:tc>
          <w:tcPr>
            <w:tcW w:w="964" w:type="dxa"/>
            <w:vAlign w:val="center"/>
          </w:tcPr>
          <w:p w14:paraId="27BA6366">
            <w:pPr>
              <w:spacing w:line="400" w:lineRule="exact"/>
              <w:jc w:val="center"/>
              <w:rPr>
                <w:rFonts w:ascii="Times New Roman" w:hAnsi="Times New Roman"/>
                <w:szCs w:val="32"/>
              </w:rPr>
            </w:pPr>
            <w:r>
              <w:rPr>
                <w:rFonts w:ascii="Times New Roman" w:hAnsi="Times New Roman"/>
                <w:szCs w:val="32"/>
              </w:rPr>
              <w:t>彭水</w:t>
            </w:r>
          </w:p>
        </w:tc>
        <w:tc>
          <w:tcPr>
            <w:tcW w:w="964" w:type="dxa"/>
            <w:vAlign w:val="center"/>
          </w:tcPr>
          <w:p w14:paraId="4D8EE653">
            <w:pPr>
              <w:spacing w:line="400" w:lineRule="exact"/>
              <w:jc w:val="center"/>
              <w:rPr>
                <w:rFonts w:ascii="Times New Roman" w:hAnsi="Times New Roman"/>
                <w:szCs w:val="32"/>
              </w:rPr>
            </w:pPr>
            <w:r>
              <w:rPr>
                <w:rFonts w:ascii="Times New Roman" w:hAnsi="Times New Roman"/>
                <w:szCs w:val="32"/>
              </w:rPr>
              <w:t>武隆</w:t>
            </w:r>
          </w:p>
        </w:tc>
        <w:tc>
          <w:tcPr>
            <w:tcW w:w="964" w:type="dxa"/>
            <w:vAlign w:val="center"/>
          </w:tcPr>
          <w:p w14:paraId="6D1FF08B">
            <w:pPr>
              <w:spacing w:line="400" w:lineRule="exact"/>
              <w:jc w:val="center"/>
              <w:rPr>
                <w:rFonts w:ascii="Times New Roman" w:hAnsi="Times New Roman"/>
                <w:szCs w:val="32"/>
              </w:rPr>
            </w:pPr>
            <w:r>
              <w:rPr>
                <w:rFonts w:ascii="Times New Roman" w:hAnsi="Times New Roman"/>
                <w:szCs w:val="32"/>
              </w:rPr>
              <w:t>涪陵</w:t>
            </w:r>
          </w:p>
        </w:tc>
        <w:tc>
          <w:tcPr>
            <w:tcW w:w="964" w:type="dxa"/>
            <w:vAlign w:val="center"/>
          </w:tcPr>
          <w:p w14:paraId="46D2F6EA">
            <w:pPr>
              <w:spacing w:line="400" w:lineRule="exact"/>
              <w:jc w:val="center"/>
              <w:rPr>
                <w:rFonts w:ascii="Times New Roman" w:hAnsi="Times New Roman"/>
                <w:szCs w:val="32"/>
              </w:rPr>
            </w:pPr>
            <w:r>
              <w:rPr>
                <w:rFonts w:ascii="Times New Roman" w:hAnsi="Times New Roman"/>
                <w:szCs w:val="32"/>
              </w:rPr>
              <w:t>长寿</w:t>
            </w:r>
          </w:p>
        </w:tc>
      </w:tr>
      <w:tr w14:paraId="7AB3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231" w:type="dxa"/>
            <w:vAlign w:val="center"/>
          </w:tcPr>
          <w:p w14:paraId="264E9019">
            <w:pPr>
              <w:spacing w:line="400" w:lineRule="exact"/>
              <w:jc w:val="center"/>
              <w:rPr>
                <w:rFonts w:ascii="Times New Roman" w:hAnsi="Times New Roman"/>
                <w:szCs w:val="32"/>
              </w:rPr>
            </w:pPr>
            <w:r>
              <w:rPr>
                <w:rFonts w:ascii="Times New Roman" w:hAnsi="Times New Roman"/>
                <w:szCs w:val="32"/>
              </w:rPr>
              <w:t>公路总里程(公里)</w:t>
            </w:r>
          </w:p>
        </w:tc>
        <w:tc>
          <w:tcPr>
            <w:tcW w:w="964" w:type="dxa"/>
            <w:vAlign w:val="center"/>
          </w:tcPr>
          <w:p w14:paraId="354BFFAD">
            <w:pPr>
              <w:spacing w:line="400" w:lineRule="exact"/>
              <w:jc w:val="center"/>
              <w:rPr>
                <w:rFonts w:ascii="Times New Roman" w:hAnsi="Times New Roman"/>
                <w:szCs w:val="32"/>
              </w:rPr>
            </w:pPr>
            <w:r>
              <w:rPr>
                <w:rFonts w:ascii="Times New Roman" w:hAnsi="Times New Roman"/>
                <w:szCs w:val="32"/>
              </w:rPr>
              <w:t>7229</w:t>
            </w:r>
          </w:p>
        </w:tc>
        <w:tc>
          <w:tcPr>
            <w:tcW w:w="964" w:type="dxa"/>
            <w:vAlign w:val="center"/>
          </w:tcPr>
          <w:p w14:paraId="0F303982">
            <w:pPr>
              <w:spacing w:line="400" w:lineRule="exact"/>
              <w:jc w:val="center"/>
              <w:rPr>
                <w:rFonts w:ascii="Times New Roman" w:hAnsi="Times New Roman"/>
                <w:szCs w:val="32"/>
              </w:rPr>
            </w:pPr>
            <w:r>
              <w:rPr>
                <w:rFonts w:ascii="Times New Roman" w:hAnsi="Times New Roman"/>
                <w:szCs w:val="32"/>
              </w:rPr>
              <w:t>4239</w:t>
            </w:r>
          </w:p>
        </w:tc>
        <w:tc>
          <w:tcPr>
            <w:tcW w:w="964" w:type="dxa"/>
            <w:vAlign w:val="center"/>
          </w:tcPr>
          <w:p w14:paraId="0B1B69FA">
            <w:pPr>
              <w:spacing w:line="400" w:lineRule="exact"/>
              <w:jc w:val="center"/>
              <w:rPr>
                <w:rFonts w:ascii="Times New Roman" w:hAnsi="Times New Roman"/>
                <w:szCs w:val="32"/>
              </w:rPr>
            </w:pPr>
            <w:r>
              <w:rPr>
                <w:rFonts w:ascii="Times New Roman" w:hAnsi="Times New Roman"/>
                <w:szCs w:val="32"/>
              </w:rPr>
              <w:t>6377</w:t>
            </w:r>
          </w:p>
        </w:tc>
        <w:tc>
          <w:tcPr>
            <w:tcW w:w="964" w:type="dxa"/>
            <w:vAlign w:val="center"/>
          </w:tcPr>
          <w:p w14:paraId="6CA7EBC9">
            <w:pPr>
              <w:spacing w:line="400" w:lineRule="exact"/>
              <w:jc w:val="center"/>
              <w:rPr>
                <w:rFonts w:ascii="Times New Roman" w:hAnsi="Times New Roman"/>
                <w:szCs w:val="32"/>
              </w:rPr>
            </w:pPr>
            <w:r>
              <w:rPr>
                <w:rFonts w:ascii="Times New Roman" w:hAnsi="Times New Roman"/>
                <w:szCs w:val="32"/>
              </w:rPr>
              <w:t>5450</w:t>
            </w:r>
          </w:p>
        </w:tc>
        <w:tc>
          <w:tcPr>
            <w:tcW w:w="964" w:type="dxa"/>
            <w:vAlign w:val="center"/>
          </w:tcPr>
          <w:p w14:paraId="62BA8EC7">
            <w:pPr>
              <w:spacing w:line="400" w:lineRule="exact"/>
              <w:jc w:val="center"/>
              <w:rPr>
                <w:rFonts w:ascii="Times New Roman" w:hAnsi="Times New Roman"/>
                <w:szCs w:val="32"/>
              </w:rPr>
            </w:pPr>
            <w:r>
              <w:rPr>
                <w:rFonts w:ascii="Times New Roman" w:hAnsi="Times New Roman"/>
                <w:szCs w:val="32"/>
              </w:rPr>
              <w:t>8168</w:t>
            </w:r>
          </w:p>
        </w:tc>
        <w:tc>
          <w:tcPr>
            <w:tcW w:w="964" w:type="dxa"/>
            <w:vAlign w:val="center"/>
          </w:tcPr>
          <w:p w14:paraId="638C2F13">
            <w:pPr>
              <w:spacing w:line="400" w:lineRule="exact"/>
              <w:jc w:val="center"/>
              <w:rPr>
                <w:rFonts w:ascii="Times New Roman" w:hAnsi="Times New Roman"/>
                <w:szCs w:val="32"/>
              </w:rPr>
            </w:pPr>
            <w:r>
              <w:rPr>
                <w:rFonts w:ascii="Times New Roman" w:hAnsi="Times New Roman"/>
                <w:szCs w:val="32"/>
              </w:rPr>
              <w:t>5220</w:t>
            </w:r>
          </w:p>
        </w:tc>
        <w:tc>
          <w:tcPr>
            <w:tcW w:w="964" w:type="dxa"/>
            <w:vAlign w:val="center"/>
          </w:tcPr>
          <w:p w14:paraId="01CDC029">
            <w:pPr>
              <w:spacing w:line="400" w:lineRule="exact"/>
              <w:jc w:val="center"/>
              <w:rPr>
                <w:rFonts w:ascii="Times New Roman" w:hAnsi="Times New Roman"/>
                <w:szCs w:val="32"/>
              </w:rPr>
            </w:pPr>
            <w:r>
              <w:rPr>
                <w:rFonts w:ascii="Times New Roman" w:hAnsi="Times New Roman"/>
                <w:szCs w:val="32"/>
              </w:rPr>
              <w:t>6226</w:t>
            </w:r>
          </w:p>
        </w:tc>
        <w:tc>
          <w:tcPr>
            <w:tcW w:w="964" w:type="dxa"/>
            <w:vAlign w:val="center"/>
          </w:tcPr>
          <w:p w14:paraId="5F1F6152">
            <w:pPr>
              <w:spacing w:line="400" w:lineRule="exact"/>
              <w:jc w:val="center"/>
              <w:rPr>
                <w:rFonts w:ascii="Times New Roman" w:hAnsi="Times New Roman"/>
                <w:szCs w:val="32"/>
              </w:rPr>
            </w:pPr>
            <w:r>
              <w:rPr>
                <w:rFonts w:ascii="Times New Roman" w:hAnsi="Times New Roman"/>
                <w:szCs w:val="32"/>
              </w:rPr>
              <w:t>3610</w:t>
            </w:r>
          </w:p>
        </w:tc>
      </w:tr>
    </w:tbl>
    <w:p w14:paraId="1426540F">
      <w:pPr>
        <w:pStyle w:val="5"/>
        <w:keepNext w:val="0"/>
        <w:keepLines w:val="0"/>
        <w:spacing w:line="600" w:lineRule="exact"/>
        <w:ind w:firstLine="640" w:firstLineChars="200"/>
        <w:rPr>
          <w:b w:val="0"/>
          <w:bCs w:val="0"/>
        </w:rPr>
      </w:pPr>
      <w:bookmarkStart w:id="13" w:name="_Toc26034"/>
      <w:bookmarkStart w:id="14" w:name="_Toc6287"/>
      <w:bookmarkStart w:id="15" w:name="_Toc84870239"/>
      <w:r>
        <w:rPr>
          <w:b w:val="0"/>
          <w:bCs w:val="0"/>
        </w:rPr>
        <w:t>（三）</w:t>
      </w:r>
      <w:bookmarkEnd w:id="12"/>
      <w:r>
        <w:rPr>
          <w:b w:val="0"/>
          <w:bCs w:val="0"/>
        </w:rPr>
        <w:t>运输服务提质增效，民众满意稳步攀升</w:t>
      </w:r>
      <w:bookmarkEnd w:id="13"/>
      <w:bookmarkEnd w:id="14"/>
      <w:bookmarkEnd w:id="15"/>
    </w:p>
    <w:p w14:paraId="665F2E83">
      <w:pPr>
        <w:spacing w:line="600" w:lineRule="exact"/>
        <w:ind w:firstLine="640" w:firstLineChars="200"/>
        <w:rPr>
          <w:rFonts w:ascii="Times New Roman" w:hAnsi="Times New Roman"/>
          <w:szCs w:val="32"/>
        </w:rPr>
      </w:pPr>
      <w:r>
        <w:rPr>
          <w:rFonts w:ascii="Times New Roman" w:hAnsi="Times New Roman"/>
          <w:szCs w:val="32"/>
        </w:rPr>
        <w:t>1. 客货运输稳步增长。</w:t>
      </w:r>
      <w:r>
        <w:rPr>
          <w:rFonts w:hint="eastAsia" w:ascii="Times New Roman" w:hAnsi="Times New Roman"/>
          <w:szCs w:val="32"/>
        </w:rPr>
        <w:t>“</w:t>
      </w:r>
      <w:r>
        <w:rPr>
          <w:rFonts w:ascii="Times New Roman" w:hAnsi="Times New Roman"/>
          <w:szCs w:val="32"/>
        </w:rPr>
        <w:t>十三五</w:t>
      </w:r>
      <w:r>
        <w:rPr>
          <w:rFonts w:hint="eastAsia" w:ascii="Times New Roman" w:hAnsi="Times New Roman"/>
          <w:szCs w:val="32"/>
        </w:rPr>
        <w:t>”</w:t>
      </w:r>
      <w:r>
        <w:rPr>
          <w:rFonts w:ascii="Times New Roman" w:hAnsi="Times New Roman"/>
          <w:szCs w:val="32"/>
        </w:rPr>
        <w:t>期间，客运量5045万人次，其中完成道路客运3476万人次，铁路运输1323万人次，水路运输246万人次，均保持了稳中有增的良好发展态势。全县年均接待游客超过2000万人次。货运量5108万吨、增速为8.5%，其中完成道路货运2958万吨、增长6.6%，水路货运2159万吨、增长10.8%。</w:t>
      </w:r>
    </w:p>
    <w:p w14:paraId="36B07A54">
      <w:pPr>
        <w:spacing w:line="600" w:lineRule="exact"/>
        <w:ind w:firstLine="640" w:firstLineChars="200"/>
        <w:rPr>
          <w:rFonts w:ascii="Times New Roman" w:hAnsi="Times New Roman"/>
          <w:szCs w:val="32"/>
        </w:rPr>
      </w:pPr>
      <w:r>
        <w:rPr>
          <w:rFonts w:ascii="Times New Roman" w:hAnsi="Times New Roman"/>
          <w:szCs w:val="32"/>
        </w:rPr>
        <w:t>2. 公交优先深入实施。公交线网持续优化，全县公交线路达21条，公交车92辆，东向辐射到长江大桥，南向辐射到三建，西向辐射到高镇，北向辐射到镇江，实现了城区（郊）公交全覆盖。</w:t>
      </w:r>
    </w:p>
    <w:p w14:paraId="45BEEA9C">
      <w:pPr>
        <w:spacing w:line="600" w:lineRule="exact"/>
        <w:ind w:firstLine="640" w:firstLineChars="200"/>
        <w:rPr>
          <w:rFonts w:ascii="Times New Roman" w:hAnsi="Times New Roman"/>
          <w:szCs w:val="32"/>
        </w:rPr>
      </w:pPr>
      <w:r>
        <w:rPr>
          <w:rFonts w:ascii="Times New Roman" w:hAnsi="Times New Roman"/>
          <w:szCs w:val="32"/>
        </w:rPr>
        <w:t>3. 客货运输提质增效。全县30个建制乡镇（街道）及行政村通客运率达100%。货运结构不断优化，市场主体规范发展，普通货运物流企业共55家；新增危险品运输企业2家，运输装备不断升级，完成老旧重型货运车辆报废210辆和船舶报废73艘，投入厢式化、模块化、轻量化等先进船舶10艘、先进车辆50辆。物流运输专业化程度显著提升，鼓励发展集装箱、厢式、冷藏、散装、液罐、城市配送等各类专用运输车辆150辆。加快推进</w:t>
      </w:r>
      <w:r>
        <w:rPr>
          <w:rFonts w:hint="eastAsia" w:ascii="Times New Roman" w:hAnsi="Times New Roman"/>
          <w:szCs w:val="32"/>
        </w:rPr>
        <w:t>“</w:t>
      </w:r>
      <w:r>
        <w:rPr>
          <w:rFonts w:ascii="Times New Roman" w:hAnsi="Times New Roman"/>
          <w:szCs w:val="32"/>
        </w:rPr>
        <w:t>快递下乡</w:t>
      </w:r>
      <w:r>
        <w:rPr>
          <w:rFonts w:hint="eastAsia" w:ascii="Times New Roman" w:hAnsi="Times New Roman"/>
          <w:szCs w:val="32"/>
        </w:rPr>
        <w:t>”“</w:t>
      </w:r>
      <w:r>
        <w:rPr>
          <w:rFonts w:ascii="Times New Roman" w:hAnsi="Times New Roman"/>
          <w:szCs w:val="32"/>
        </w:rPr>
        <w:t>邮政在乡</w:t>
      </w:r>
      <w:r>
        <w:rPr>
          <w:rFonts w:hint="eastAsia" w:ascii="Times New Roman" w:hAnsi="Times New Roman"/>
          <w:szCs w:val="32"/>
        </w:rPr>
        <w:t>”</w:t>
      </w:r>
      <w:r>
        <w:rPr>
          <w:rFonts w:ascii="Times New Roman" w:hAnsi="Times New Roman"/>
          <w:szCs w:val="32"/>
        </w:rPr>
        <w:t>，行政村通邮率达到100%。</w:t>
      </w:r>
    </w:p>
    <w:p w14:paraId="731DC50A">
      <w:pPr>
        <w:pStyle w:val="5"/>
        <w:keepNext w:val="0"/>
        <w:keepLines w:val="0"/>
        <w:spacing w:line="600" w:lineRule="exact"/>
        <w:ind w:firstLine="640" w:firstLineChars="200"/>
        <w:rPr>
          <w:b w:val="0"/>
          <w:bCs w:val="0"/>
        </w:rPr>
      </w:pPr>
      <w:bookmarkStart w:id="16" w:name="_Toc51758631"/>
      <w:bookmarkStart w:id="17" w:name="_Toc28384"/>
      <w:bookmarkStart w:id="18" w:name="_Toc84870240"/>
      <w:bookmarkStart w:id="19" w:name="_Toc12748"/>
      <w:r>
        <w:rPr>
          <w:b w:val="0"/>
          <w:bCs w:val="0"/>
        </w:rPr>
        <w:t>（四）</w:t>
      </w:r>
      <w:bookmarkEnd w:id="16"/>
      <w:r>
        <w:rPr>
          <w:b w:val="0"/>
          <w:bCs w:val="0"/>
        </w:rPr>
        <w:t>创新驱动生态优先，交通保障大幅提升</w:t>
      </w:r>
      <w:bookmarkEnd w:id="17"/>
      <w:bookmarkEnd w:id="18"/>
      <w:bookmarkEnd w:id="19"/>
    </w:p>
    <w:p w14:paraId="4E16B6F4">
      <w:pPr>
        <w:spacing w:line="600" w:lineRule="exact"/>
        <w:ind w:firstLine="640" w:firstLineChars="200"/>
        <w:rPr>
          <w:rFonts w:ascii="Times New Roman" w:hAnsi="Times New Roman"/>
          <w:szCs w:val="32"/>
        </w:rPr>
      </w:pPr>
      <w:r>
        <w:rPr>
          <w:rFonts w:ascii="Times New Roman" w:hAnsi="Times New Roman"/>
          <w:szCs w:val="32"/>
        </w:rPr>
        <w:t>1.智慧交通先行引领。运行监测能力显著增强，</w:t>
      </w:r>
      <w:r>
        <w:rPr>
          <w:rFonts w:hint="eastAsia" w:ascii="Times New Roman" w:hAnsi="Times New Roman"/>
          <w:szCs w:val="32"/>
        </w:rPr>
        <w:t>“</w:t>
      </w:r>
      <w:r>
        <w:rPr>
          <w:rFonts w:ascii="Times New Roman" w:hAnsi="Times New Roman"/>
          <w:szCs w:val="32"/>
        </w:rPr>
        <w:t>两客一危</w:t>
      </w:r>
      <w:r>
        <w:rPr>
          <w:rFonts w:hint="eastAsia" w:ascii="Times New Roman" w:hAnsi="Times New Roman"/>
          <w:szCs w:val="32"/>
        </w:rPr>
        <w:t>”</w:t>
      </w:r>
      <w:r>
        <w:rPr>
          <w:rFonts w:ascii="Times New Roman" w:hAnsi="Times New Roman"/>
          <w:szCs w:val="32"/>
        </w:rPr>
        <w:t>车辆、公交车、出租车、客渡船和货船动态监测率均达到100%，已实现与市级共享区内高速公路运行监测数据。</w:t>
      </w:r>
    </w:p>
    <w:p w14:paraId="640A52BB">
      <w:pPr>
        <w:spacing w:line="600" w:lineRule="exact"/>
        <w:ind w:firstLine="640" w:firstLineChars="200"/>
        <w:rPr>
          <w:rFonts w:ascii="Times New Roman" w:hAnsi="Times New Roman"/>
          <w:szCs w:val="32"/>
        </w:rPr>
      </w:pPr>
      <w:r>
        <w:rPr>
          <w:rFonts w:ascii="Times New Roman" w:hAnsi="Times New Roman"/>
          <w:szCs w:val="32"/>
        </w:rPr>
        <w:t>2.绿色交通成效良好。强化港口码头船舶污染防治，编制《丰都县港口和船舶污染物接收转运及处置设施建设方案》，辖区内港口趸船生活污水储存转岸处理柜安装率达到100%，督促水运企业完成港口码头船舶问题整改，实现污染零排放。强化老旧非法码头综合整治和道路运输环保专项整治，加强示范河湖创建工作，高质量完成了龙河航道疏浚和环湖公路建设，助推了龙河（丰都段）成功创建全国示范河湖。</w:t>
      </w:r>
    </w:p>
    <w:p w14:paraId="5AB9DB85">
      <w:pPr>
        <w:spacing w:line="600" w:lineRule="exact"/>
        <w:ind w:firstLine="640" w:firstLineChars="200"/>
        <w:rPr>
          <w:rFonts w:ascii="Times New Roman" w:hAnsi="Times New Roman"/>
          <w:szCs w:val="32"/>
        </w:rPr>
      </w:pPr>
      <w:r>
        <w:rPr>
          <w:rFonts w:ascii="Times New Roman" w:hAnsi="Times New Roman"/>
          <w:szCs w:val="32"/>
        </w:rPr>
        <w:t>3.安全应急日趋完善。强化安全宣传教育体系建设，健全安全责任制度体系建设，加大安全隐患排查整治力度，建立健全应急管理体制机制，实现了安全生产死亡事故年度零目标，水上交通更是保持连续16年无责任事故发生。扎实完成新冠肺炎疫情防控的交通运输保畅通、保安全任务，强化应急管理机制，修订应急抢险预案，扎实推进常态化防控。</w:t>
      </w:r>
    </w:p>
    <w:p w14:paraId="589224B3">
      <w:pPr>
        <w:pStyle w:val="5"/>
        <w:keepNext w:val="0"/>
        <w:keepLines w:val="0"/>
        <w:spacing w:line="600" w:lineRule="exact"/>
        <w:ind w:firstLine="640" w:firstLineChars="200"/>
        <w:rPr>
          <w:b w:val="0"/>
          <w:bCs w:val="0"/>
        </w:rPr>
      </w:pPr>
      <w:bookmarkStart w:id="20" w:name="_Toc51758632"/>
      <w:bookmarkStart w:id="21" w:name="_Toc27427"/>
      <w:bookmarkStart w:id="22" w:name="_Toc84870241"/>
      <w:bookmarkStart w:id="23" w:name="_Toc15980"/>
      <w:r>
        <w:rPr>
          <w:b w:val="0"/>
          <w:bCs w:val="0"/>
        </w:rPr>
        <w:t>（五）</w:t>
      </w:r>
      <w:bookmarkEnd w:id="20"/>
      <w:r>
        <w:rPr>
          <w:b w:val="0"/>
          <w:bCs w:val="0"/>
        </w:rPr>
        <w:t>深化改革攻坚克难，行业治理不断完善</w:t>
      </w:r>
      <w:bookmarkEnd w:id="21"/>
      <w:bookmarkEnd w:id="22"/>
      <w:bookmarkEnd w:id="23"/>
    </w:p>
    <w:p w14:paraId="6D2099C6">
      <w:pPr>
        <w:spacing w:line="600" w:lineRule="exact"/>
        <w:ind w:firstLine="640" w:firstLineChars="200"/>
        <w:rPr>
          <w:rFonts w:ascii="Times New Roman" w:hAnsi="Times New Roman"/>
          <w:szCs w:val="32"/>
        </w:rPr>
      </w:pPr>
      <w:r>
        <w:rPr>
          <w:rFonts w:ascii="Times New Roman" w:hAnsi="Times New Roman"/>
          <w:szCs w:val="32"/>
        </w:rPr>
        <w:t>1. 体制改革有序推进。完成了交通系统机构改革，全面清理归结下属事业单位的行政审批许可职能，理顺工程质量监管、路政执法等行政事项的执行机制，对接完成6个事业单位的更名工作和多家国有企业划转到国资委统一管理工作。持续深化</w:t>
      </w:r>
      <w:r>
        <w:rPr>
          <w:rFonts w:hint="eastAsia" w:ascii="Times New Roman" w:hAnsi="Times New Roman"/>
          <w:szCs w:val="32"/>
        </w:rPr>
        <w:t>“</w:t>
      </w:r>
      <w:r>
        <w:rPr>
          <w:rFonts w:ascii="Times New Roman" w:hAnsi="Times New Roman"/>
          <w:szCs w:val="32"/>
        </w:rPr>
        <w:t>放管服</w:t>
      </w:r>
      <w:r>
        <w:rPr>
          <w:rFonts w:hint="eastAsia" w:ascii="Times New Roman" w:hAnsi="Times New Roman"/>
          <w:szCs w:val="32"/>
        </w:rPr>
        <w:t>”</w:t>
      </w:r>
      <w:r>
        <w:rPr>
          <w:rFonts w:ascii="Times New Roman" w:hAnsi="Times New Roman"/>
          <w:szCs w:val="32"/>
        </w:rPr>
        <w:t>改革，着力精简行政审批流程，提升审批效率，全面实现网上审批和</w:t>
      </w:r>
      <w:r>
        <w:rPr>
          <w:rFonts w:hint="eastAsia" w:ascii="Times New Roman" w:hAnsi="Times New Roman"/>
          <w:szCs w:val="32"/>
        </w:rPr>
        <w:t>“</w:t>
      </w:r>
      <w:r>
        <w:rPr>
          <w:rFonts w:ascii="Times New Roman" w:hAnsi="Times New Roman"/>
          <w:szCs w:val="32"/>
        </w:rPr>
        <w:t>一站式</w:t>
      </w:r>
      <w:r>
        <w:rPr>
          <w:rFonts w:hint="eastAsia" w:ascii="Times New Roman" w:hAnsi="Times New Roman"/>
          <w:szCs w:val="32"/>
        </w:rPr>
        <w:t>”</w:t>
      </w:r>
      <w:r>
        <w:rPr>
          <w:rFonts w:ascii="Times New Roman" w:hAnsi="Times New Roman"/>
          <w:szCs w:val="32"/>
        </w:rPr>
        <w:t>审批，行政事项网上申办率达到100%，118项行政许可办件类型由承诺件变更为即办件比例达到71%。</w:t>
      </w:r>
    </w:p>
    <w:p w14:paraId="71D504E2">
      <w:pPr>
        <w:spacing w:line="600" w:lineRule="exact"/>
        <w:ind w:firstLine="640" w:firstLineChars="200"/>
        <w:rPr>
          <w:rFonts w:ascii="Times New Roman" w:hAnsi="Times New Roman"/>
          <w:szCs w:val="32"/>
        </w:rPr>
      </w:pPr>
      <w:r>
        <w:rPr>
          <w:rFonts w:ascii="Times New Roman" w:hAnsi="Times New Roman"/>
          <w:szCs w:val="32"/>
        </w:rPr>
        <w:t>2. 管养能力持续提高。在全市率先实施公路路长制，大力推行五级路长制管理和道路养护资金改革，探索</w:t>
      </w:r>
      <w:r>
        <w:rPr>
          <w:rFonts w:hint="eastAsia" w:ascii="Times New Roman" w:hAnsi="Times New Roman"/>
          <w:szCs w:val="32"/>
        </w:rPr>
        <w:t>“</w:t>
      </w:r>
      <w:r>
        <w:rPr>
          <w:rFonts w:ascii="Times New Roman" w:hAnsi="Times New Roman"/>
          <w:szCs w:val="32"/>
        </w:rPr>
        <w:t>三个一点</w:t>
      </w:r>
      <w:r>
        <w:rPr>
          <w:rFonts w:hint="eastAsia" w:ascii="Times New Roman" w:hAnsi="Times New Roman"/>
          <w:szCs w:val="32"/>
        </w:rPr>
        <w:t>”</w:t>
      </w:r>
      <w:r>
        <w:rPr>
          <w:rFonts w:ascii="Times New Roman" w:hAnsi="Times New Roman"/>
          <w:szCs w:val="32"/>
        </w:rPr>
        <w:t>建立村道路养护基金，创新推行公路灾毁保险，不断提升机械化作业水平，规范</w:t>
      </w:r>
      <w:r>
        <w:rPr>
          <w:rFonts w:hint="eastAsia" w:ascii="Times New Roman" w:hAnsi="Times New Roman"/>
          <w:szCs w:val="32"/>
        </w:rPr>
        <w:t>“</w:t>
      </w:r>
      <w:r>
        <w:rPr>
          <w:rFonts w:ascii="Times New Roman" w:hAnsi="Times New Roman"/>
          <w:szCs w:val="32"/>
        </w:rPr>
        <w:t>一桥一档</w:t>
      </w:r>
      <w:r>
        <w:rPr>
          <w:rFonts w:hint="eastAsia" w:ascii="Times New Roman" w:hAnsi="Times New Roman"/>
          <w:szCs w:val="32"/>
        </w:rPr>
        <w:t>”</w:t>
      </w:r>
      <w:r>
        <w:rPr>
          <w:rFonts w:ascii="Times New Roman" w:hAnsi="Times New Roman"/>
          <w:szCs w:val="32"/>
        </w:rPr>
        <w:t>管理，国省干线公路实现经常性养护率100%，国道干线路况水平、公路通行能力和服务水平全面提升。</w:t>
      </w:r>
    </w:p>
    <w:p w14:paraId="7D0113E9">
      <w:pPr>
        <w:spacing w:line="600" w:lineRule="exact"/>
        <w:ind w:firstLine="640" w:firstLineChars="200"/>
        <w:rPr>
          <w:rFonts w:ascii="Times New Roman" w:hAnsi="Times New Roman"/>
          <w:szCs w:val="32"/>
        </w:rPr>
      </w:pPr>
      <w:bookmarkStart w:id="24" w:name="_Toc51758633"/>
      <w:r>
        <w:rPr>
          <w:rFonts w:ascii="Times New Roman" w:hAnsi="Times New Roman"/>
          <w:szCs w:val="32"/>
        </w:rPr>
        <w:t>3. 行政执法持续深化。着力提升执法程序和执法手段的</w:t>
      </w:r>
      <w:r>
        <w:rPr>
          <w:rFonts w:hint="eastAsia" w:ascii="Times New Roman" w:hAnsi="Times New Roman"/>
          <w:szCs w:val="32"/>
          <w:lang w:eastAsia="zh-CN"/>
        </w:rPr>
        <w:t>法治化</w:t>
      </w:r>
      <w:r>
        <w:rPr>
          <w:rFonts w:ascii="Times New Roman" w:hAnsi="Times New Roman"/>
          <w:szCs w:val="32"/>
        </w:rPr>
        <w:t>、智能化水平，加强</w:t>
      </w:r>
      <w:r>
        <w:rPr>
          <w:rFonts w:hint="eastAsia" w:ascii="Times New Roman" w:hAnsi="Times New Roman"/>
          <w:szCs w:val="32"/>
        </w:rPr>
        <w:t>“</w:t>
      </w:r>
      <w:r>
        <w:rPr>
          <w:rFonts w:ascii="Times New Roman" w:hAnsi="Times New Roman"/>
          <w:szCs w:val="32"/>
        </w:rPr>
        <w:t>双随机、一公开</w:t>
      </w:r>
      <w:r>
        <w:rPr>
          <w:rFonts w:hint="eastAsia" w:ascii="Times New Roman" w:hAnsi="Times New Roman"/>
          <w:szCs w:val="32"/>
        </w:rPr>
        <w:t>”</w:t>
      </w:r>
      <w:r>
        <w:rPr>
          <w:rFonts w:ascii="Times New Roman" w:hAnsi="Times New Roman"/>
          <w:szCs w:val="32"/>
        </w:rPr>
        <w:t>、</w:t>
      </w:r>
      <w:r>
        <w:rPr>
          <w:rFonts w:hint="eastAsia" w:ascii="Times New Roman" w:hAnsi="Times New Roman"/>
          <w:szCs w:val="32"/>
        </w:rPr>
        <w:t>“</w:t>
      </w:r>
      <w:r>
        <w:rPr>
          <w:rFonts w:ascii="Times New Roman" w:hAnsi="Times New Roman"/>
          <w:szCs w:val="32"/>
        </w:rPr>
        <w:t>三项制度</w:t>
      </w:r>
      <w:r>
        <w:rPr>
          <w:rFonts w:hint="eastAsia" w:ascii="Times New Roman" w:hAnsi="Times New Roman"/>
          <w:szCs w:val="32"/>
        </w:rPr>
        <w:t>”</w:t>
      </w:r>
      <w:r>
        <w:rPr>
          <w:rFonts w:ascii="Times New Roman" w:hAnsi="Times New Roman"/>
          <w:szCs w:val="32"/>
        </w:rPr>
        <w:t>等行政执法制度执行和监管力度，着力提升执法队伍</w:t>
      </w:r>
      <w:r>
        <w:rPr>
          <w:rFonts w:hint="eastAsia" w:ascii="Times New Roman" w:hAnsi="Times New Roman"/>
          <w:szCs w:val="32"/>
          <w:lang w:eastAsia="zh-CN"/>
        </w:rPr>
        <w:t>法治意识</w:t>
      </w:r>
      <w:r>
        <w:rPr>
          <w:rFonts w:ascii="Times New Roman" w:hAnsi="Times New Roman"/>
          <w:szCs w:val="32"/>
        </w:rPr>
        <w:t>和执法能力。</w:t>
      </w:r>
    </w:p>
    <w:p w14:paraId="5D4A5ED6">
      <w:pPr>
        <w:spacing w:line="600" w:lineRule="exact"/>
        <w:ind w:firstLine="640" w:firstLineChars="200"/>
        <w:rPr>
          <w:rFonts w:ascii="Times New Roman" w:hAnsi="Times New Roman" w:eastAsia="方正黑体_GBK"/>
          <w:kern w:val="28"/>
          <w:szCs w:val="32"/>
        </w:rPr>
      </w:pPr>
      <w:r>
        <w:rPr>
          <w:rFonts w:ascii="Times New Roman" w:hAnsi="Times New Roman" w:eastAsia="方正黑体_GBK"/>
          <w:kern w:val="28"/>
          <w:szCs w:val="32"/>
        </w:rPr>
        <w:t>二、机遇与</w:t>
      </w:r>
      <w:bookmarkEnd w:id="24"/>
      <w:r>
        <w:rPr>
          <w:rFonts w:ascii="Times New Roman" w:hAnsi="Times New Roman" w:eastAsia="方正黑体_GBK"/>
          <w:kern w:val="28"/>
          <w:szCs w:val="32"/>
        </w:rPr>
        <w:t>挑战</w:t>
      </w:r>
      <w:bookmarkStart w:id="25" w:name="_Toc51758641"/>
      <w:bookmarkStart w:id="26" w:name="_Toc49246022"/>
      <w:bookmarkStart w:id="27" w:name="_Toc49366793"/>
      <w:bookmarkStart w:id="28" w:name="_Toc25377"/>
      <w:bookmarkStart w:id="29" w:name="_Toc78728236"/>
      <w:bookmarkStart w:id="30" w:name="_Toc84870250"/>
      <w:bookmarkStart w:id="31" w:name="_Toc78363604"/>
    </w:p>
    <w:p w14:paraId="60363E26">
      <w:pPr>
        <w:spacing w:line="600" w:lineRule="exact"/>
        <w:ind w:firstLine="640" w:firstLineChars="200"/>
        <w:rPr>
          <w:rFonts w:ascii="Times New Roman" w:hAnsi="Times New Roman" w:eastAsia="方正楷体_GBK"/>
          <w:szCs w:val="32"/>
        </w:rPr>
      </w:pPr>
      <w:r>
        <w:rPr>
          <w:rFonts w:ascii="Times New Roman" w:hAnsi="Times New Roman" w:eastAsia="方正楷体_GBK"/>
          <w:szCs w:val="32"/>
        </w:rPr>
        <w:t>（一）形势要求</w:t>
      </w:r>
    </w:p>
    <w:p w14:paraId="33CE5581">
      <w:pPr>
        <w:pStyle w:val="5"/>
        <w:keepNext w:val="0"/>
        <w:keepLines w:val="0"/>
        <w:spacing w:line="600" w:lineRule="exact"/>
        <w:ind w:firstLine="643" w:firstLineChars="200"/>
        <w:rPr>
          <w:rFonts w:eastAsia="方正仿宋_GBK"/>
        </w:rPr>
      </w:pPr>
      <w:bookmarkStart w:id="32" w:name="_Toc11199"/>
      <w:r>
        <w:rPr>
          <w:rFonts w:eastAsia="方正仿宋_GBK"/>
        </w:rPr>
        <w:t>形势1：成渝地区双城经济圈建设。</w:t>
      </w:r>
      <w:bookmarkEnd w:id="32"/>
    </w:p>
    <w:p w14:paraId="5290CD49">
      <w:pPr>
        <w:pStyle w:val="5"/>
        <w:keepNext w:val="0"/>
        <w:keepLines w:val="0"/>
        <w:spacing w:line="600" w:lineRule="exact"/>
        <w:ind w:firstLine="640" w:firstLineChars="200"/>
        <w:rPr>
          <w:rFonts w:eastAsia="方正仿宋_GBK"/>
          <w:b w:val="0"/>
          <w:bCs w:val="0"/>
        </w:rPr>
      </w:pPr>
      <w:bookmarkStart w:id="33" w:name="_Toc5523"/>
      <w:r>
        <w:rPr>
          <w:rFonts w:eastAsia="方正仿宋_GBK"/>
          <w:b w:val="0"/>
          <w:bCs w:val="0"/>
        </w:rPr>
        <w:t>需要抢抓机遇，主动融入大交通</w:t>
      </w:r>
      <w:bookmarkEnd w:id="25"/>
      <w:bookmarkEnd w:id="26"/>
      <w:bookmarkEnd w:id="27"/>
      <w:r>
        <w:rPr>
          <w:rFonts w:eastAsia="方正仿宋_GBK"/>
          <w:b w:val="0"/>
          <w:bCs w:val="0"/>
        </w:rPr>
        <w:t>新格局</w:t>
      </w:r>
      <w:bookmarkEnd w:id="28"/>
      <w:bookmarkEnd w:id="29"/>
      <w:bookmarkEnd w:id="30"/>
      <w:bookmarkEnd w:id="31"/>
      <w:r>
        <w:rPr>
          <w:rFonts w:eastAsia="方正仿宋_GBK"/>
          <w:b w:val="0"/>
          <w:bCs w:val="0"/>
        </w:rPr>
        <w:t>。</w:t>
      </w:r>
      <w:bookmarkEnd w:id="33"/>
    </w:p>
    <w:p w14:paraId="2B35AB02">
      <w:pPr>
        <w:spacing w:line="600" w:lineRule="exact"/>
        <w:ind w:firstLine="640"/>
        <w:rPr>
          <w:rFonts w:ascii="Times New Roman" w:hAnsi="Times New Roman"/>
          <w:szCs w:val="32"/>
        </w:rPr>
      </w:pPr>
      <w:r>
        <w:rPr>
          <w:rFonts w:ascii="Times New Roman" w:hAnsi="Times New Roman"/>
          <w:szCs w:val="32"/>
        </w:rPr>
        <w:t>2020年1月，习近平总书记在中央财经委员会第六次会议，明确提出推动成渝地区双城经济圈建设，在西部形成高质量发展的重要增长极，这标志着成渝城市群发展已上升为国家战略，为交通发展带来新的重要战略机遇。市委、市政府要求编制实施7大专项行动方案，加强交通基础设施建设是七大任务之首。党中央、国务院将丰都作为重庆27个全域纳入规划范围的区县之一，全县已进入对外开放快速发展的关键期，要求丰都交通要抢抓成渝地区双城经济圈建设等战略机遇，发挥节点作用，带动双城经济圈北翼发展，集中精力办好自己的事，同心合力办好合作的事，抓紧谋划一批引领性、带动性和标志性的重大交通基础设施，加快构建多向对外大通道，主动融入</w:t>
      </w:r>
      <w:r>
        <w:rPr>
          <w:rFonts w:hint="eastAsia" w:ascii="Times New Roman" w:hAnsi="Times New Roman"/>
          <w:szCs w:val="32"/>
          <w:lang w:eastAsia="zh-CN"/>
        </w:rPr>
        <w:t>“一带一路”</w:t>
      </w:r>
      <w:r>
        <w:rPr>
          <w:rFonts w:ascii="Times New Roman" w:hAnsi="Times New Roman"/>
          <w:szCs w:val="32"/>
        </w:rPr>
        <w:t>、长江经济带、西部陆海新通道等国家大战略、大通道，强化区域交通物流枢纽，不断提升辐射带动能力。</w:t>
      </w:r>
    </w:p>
    <w:p w14:paraId="151D0655">
      <w:pPr>
        <w:pStyle w:val="5"/>
        <w:keepNext w:val="0"/>
        <w:keepLines w:val="0"/>
        <w:spacing w:line="600" w:lineRule="exact"/>
        <w:rPr>
          <w:rFonts w:eastAsia="方正仿宋_GBK"/>
        </w:rPr>
      </w:pPr>
      <w:bookmarkStart w:id="34" w:name="_Toc12699"/>
      <w:bookmarkStart w:id="35" w:name="_Toc78363605"/>
      <w:bookmarkStart w:id="36" w:name="_Toc78728237"/>
      <w:bookmarkStart w:id="37" w:name="_Toc51758642"/>
      <w:bookmarkStart w:id="38" w:name="_Toc84870251"/>
      <w:bookmarkStart w:id="39" w:name="_Toc30564"/>
      <w:r>
        <w:rPr>
          <w:rFonts w:eastAsia="方正仿宋_GBK"/>
        </w:rPr>
        <w:t>形势2：建设交通强国交通强市战略。</w:t>
      </w:r>
      <w:bookmarkEnd w:id="34"/>
    </w:p>
    <w:p w14:paraId="678E7593">
      <w:pPr>
        <w:pStyle w:val="5"/>
        <w:keepNext w:val="0"/>
        <w:keepLines w:val="0"/>
        <w:spacing w:line="600" w:lineRule="exact"/>
        <w:rPr>
          <w:rFonts w:eastAsia="方正仿宋_GBK"/>
          <w:b w:val="0"/>
          <w:bCs w:val="0"/>
        </w:rPr>
      </w:pPr>
      <w:bookmarkStart w:id="40" w:name="_Toc17449"/>
      <w:r>
        <w:rPr>
          <w:rFonts w:eastAsia="方正仿宋_GBK"/>
          <w:b w:val="0"/>
          <w:bCs w:val="0"/>
        </w:rPr>
        <w:t>需要聚焦</w:t>
      </w:r>
      <w:r>
        <w:rPr>
          <w:rFonts w:hint="eastAsia" w:eastAsia="方正仿宋_GBK"/>
          <w:b w:val="0"/>
          <w:bCs w:val="0"/>
        </w:rPr>
        <w:t>“</w:t>
      </w:r>
      <w:r>
        <w:rPr>
          <w:rFonts w:eastAsia="方正仿宋_GBK"/>
          <w:b w:val="0"/>
          <w:bCs w:val="0"/>
        </w:rPr>
        <w:t>123出行圈</w:t>
      </w:r>
      <w:r>
        <w:rPr>
          <w:rFonts w:hint="eastAsia" w:eastAsia="方正仿宋_GBK"/>
          <w:b w:val="0"/>
          <w:bCs w:val="0"/>
        </w:rPr>
        <w:t>”</w:t>
      </w:r>
      <w:r>
        <w:rPr>
          <w:rFonts w:eastAsia="方正仿宋_GBK"/>
          <w:b w:val="0"/>
          <w:bCs w:val="0"/>
        </w:rPr>
        <w:t>和</w:t>
      </w:r>
      <w:r>
        <w:rPr>
          <w:rFonts w:hint="eastAsia" w:eastAsia="方正仿宋_GBK"/>
          <w:b w:val="0"/>
          <w:bCs w:val="0"/>
        </w:rPr>
        <w:t>“</w:t>
      </w:r>
      <w:r>
        <w:rPr>
          <w:rFonts w:eastAsia="方正仿宋_GBK"/>
          <w:b w:val="0"/>
          <w:bCs w:val="0"/>
        </w:rPr>
        <w:t>123物流圈</w:t>
      </w:r>
      <w:r>
        <w:rPr>
          <w:rFonts w:hint="eastAsia" w:eastAsia="方正仿宋_GBK"/>
          <w:b w:val="0"/>
          <w:bCs w:val="0"/>
        </w:rPr>
        <w:t>”</w:t>
      </w:r>
      <w:r>
        <w:rPr>
          <w:rFonts w:eastAsia="方正仿宋_GBK"/>
          <w:b w:val="0"/>
          <w:bCs w:val="0"/>
        </w:rPr>
        <w:t>，构建现代综合立体交通运输体系</w:t>
      </w:r>
      <w:bookmarkEnd w:id="35"/>
      <w:bookmarkEnd w:id="36"/>
      <w:bookmarkEnd w:id="37"/>
      <w:bookmarkEnd w:id="38"/>
      <w:bookmarkEnd w:id="39"/>
      <w:r>
        <w:rPr>
          <w:rFonts w:eastAsia="方正仿宋_GBK"/>
          <w:b w:val="0"/>
          <w:bCs w:val="0"/>
        </w:rPr>
        <w:t>。</w:t>
      </w:r>
      <w:bookmarkEnd w:id="40"/>
    </w:p>
    <w:p w14:paraId="72CC0E2B">
      <w:pPr>
        <w:spacing w:line="600" w:lineRule="exact"/>
        <w:ind w:firstLine="640"/>
        <w:rPr>
          <w:rFonts w:ascii="Times New Roman" w:hAnsi="Times New Roman"/>
          <w:szCs w:val="32"/>
        </w:rPr>
      </w:pPr>
      <w:r>
        <w:rPr>
          <w:rFonts w:ascii="Times New Roman" w:hAnsi="Times New Roman"/>
          <w:szCs w:val="32"/>
        </w:rPr>
        <w:t>《交通强国建设纲要》于2019年9月，由中共中央、国务院印发实施。提出构建安全、便捷、高效、绿色、经济的现代化综合交通体系，到2035年基本形成</w:t>
      </w:r>
      <w:r>
        <w:rPr>
          <w:rFonts w:hint="eastAsia" w:ascii="Times New Roman" w:hAnsi="Times New Roman"/>
          <w:szCs w:val="32"/>
        </w:rPr>
        <w:t>“</w:t>
      </w:r>
      <w:r>
        <w:rPr>
          <w:rFonts w:ascii="Times New Roman" w:hAnsi="Times New Roman"/>
          <w:szCs w:val="32"/>
        </w:rPr>
        <w:t>全国123出行交通圈</w:t>
      </w:r>
      <w:r>
        <w:rPr>
          <w:rFonts w:hint="eastAsia" w:ascii="Times New Roman" w:hAnsi="Times New Roman"/>
          <w:szCs w:val="32"/>
        </w:rPr>
        <w:t>”</w:t>
      </w:r>
      <w:r>
        <w:rPr>
          <w:rFonts w:ascii="Times New Roman" w:hAnsi="Times New Roman"/>
          <w:szCs w:val="32"/>
        </w:rPr>
        <w:t>和</w:t>
      </w:r>
      <w:r>
        <w:rPr>
          <w:rFonts w:hint="eastAsia" w:ascii="Times New Roman" w:hAnsi="Times New Roman"/>
          <w:szCs w:val="32"/>
        </w:rPr>
        <w:t>“</w:t>
      </w:r>
      <w:r>
        <w:rPr>
          <w:rFonts w:ascii="Times New Roman" w:hAnsi="Times New Roman"/>
          <w:szCs w:val="32"/>
        </w:rPr>
        <w:t>全球123快货物流圈</w:t>
      </w:r>
      <w:r>
        <w:rPr>
          <w:rFonts w:hint="eastAsia" w:ascii="Times New Roman" w:hAnsi="Times New Roman"/>
          <w:szCs w:val="32"/>
        </w:rPr>
        <w:t>”</w:t>
      </w:r>
      <w:r>
        <w:rPr>
          <w:rFonts w:ascii="Times New Roman" w:hAnsi="Times New Roman"/>
          <w:szCs w:val="32"/>
        </w:rPr>
        <w:t>。同年10月交通运输部将重庆列为全国第一批试点城市之一，并明确建设内陆国际物流枢纽高质量发展、成渝地区双城经济圈交通一体化发展、山水城市交旅融合发展、内河水运集约绿色发展等共5个试点任务。2021年2月中共中央、国务院印发《国家综合立体交通网规划纲要》，成渝跻身全国交通</w:t>
      </w:r>
      <w:r>
        <w:rPr>
          <w:rFonts w:hint="eastAsia" w:ascii="Times New Roman" w:hAnsi="Times New Roman"/>
          <w:szCs w:val="32"/>
        </w:rPr>
        <w:t>“</w:t>
      </w:r>
      <w:r>
        <w:rPr>
          <w:rFonts w:ascii="Times New Roman" w:hAnsi="Times New Roman"/>
          <w:szCs w:val="32"/>
        </w:rPr>
        <w:t>第四极</w:t>
      </w:r>
      <w:r>
        <w:rPr>
          <w:rFonts w:hint="eastAsia" w:ascii="Times New Roman" w:hAnsi="Times New Roman"/>
          <w:szCs w:val="32"/>
        </w:rPr>
        <w:t>”</w:t>
      </w:r>
      <w:r>
        <w:rPr>
          <w:rFonts w:ascii="Times New Roman" w:hAnsi="Times New Roman"/>
          <w:szCs w:val="32"/>
        </w:rPr>
        <w:t>，要求建设以成都、重庆为中心的成渝地区双城经济圈国际性综合交通枢纽集群，将重庆定位为西部国际综合交通枢纽和国际门户枢纽，要求重庆建设国际性铁路、航空等枢纽港站。2021年10月12日，市委陈敏尔书记在全市交通强市建设工作推进会上要求，要全面落实交通强国战略部署，并正式发布《重庆市综合立体交通网规划纲要（2021</w:t>
      </w:r>
      <w:r>
        <w:rPr>
          <w:rFonts w:hint="eastAsia" w:ascii="Times New Roman" w:hAnsi="Times New Roman"/>
          <w:szCs w:val="32"/>
        </w:rPr>
        <w:t>-</w:t>
      </w:r>
      <w:r>
        <w:rPr>
          <w:rFonts w:ascii="Times New Roman" w:hAnsi="Times New Roman"/>
          <w:szCs w:val="32"/>
        </w:rPr>
        <w:t>2035年）》，提出到2035年，重庆将基本建成便捷顺畅、经济高效、绿色集约、智能先进、安全可靠的现代化高质量综合立体交通网。《2022年丰都县人民政府工作报告》提出，要</w:t>
      </w:r>
      <w:r>
        <w:rPr>
          <w:rFonts w:ascii="Times New Roman" w:hAnsi="Times New Roman"/>
          <w:szCs w:val="32"/>
          <w:lang w:bidi="he-IL"/>
        </w:rPr>
        <w:t>全面建强基础设施，实施交通强县</w:t>
      </w:r>
      <w:r>
        <w:rPr>
          <w:rFonts w:ascii="Times New Roman" w:hAnsi="Times New Roman"/>
          <w:szCs w:val="32"/>
        </w:rPr>
        <w:t>。要求推动丰都交通发展由追求速度规模向更加注重质量效益转变，由各种交通方式相对独立发展向更加注重一体化融合发展转变，由依靠传统要素驱动向更加注重创新驱动转变，构建安全、便捷、高效、绿色、经济的现代化综合交通体系。</w:t>
      </w:r>
      <w:bookmarkStart w:id="41" w:name="_Toc78728238"/>
      <w:bookmarkStart w:id="42" w:name="_Toc49246023"/>
      <w:bookmarkStart w:id="43" w:name="_Toc84870252"/>
      <w:bookmarkStart w:id="44" w:name="_Toc49366794"/>
      <w:bookmarkStart w:id="45" w:name="_Toc51758643"/>
      <w:bookmarkStart w:id="46" w:name="_Toc20210"/>
      <w:bookmarkStart w:id="47" w:name="_Toc78363606"/>
    </w:p>
    <w:p w14:paraId="37875AD2">
      <w:pPr>
        <w:spacing w:line="600" w:lineRule="exact"/>
        <w:ind w:firstLine="640"/>
        <w:rPr>
          <w:rFonts w:ascii="Times New Roman" w:hAnsi="Times New Roman"/>
          <w:b/>
          <w:bCs/>
          <w:szCs w:val="32"/>
        </w:rPr>
      </w:pPr>
      <w:r>
        <w:rPr>
          <w:rFonts w:ascii="Times New Roman" w:hAnsi="Times New Roman"/>
          <w:b/>
          <w:bCs/>
          <w:szCs w:val="32"/>
        </w:rPr>
        <w:t xml:space="preserve">形势3： </w:t>
      </w:r>
      <w:r>
        <w:rPr>
          <w:rFonts w:hint="eastAsia" w:ascii="Times New Roman" w:hAnsi="Times New Roman"/>
          <w:b/>
          <w:bCs/>
          <w:szCs w:val="32"/>
        </w:rPr>
        <w:t>“</w:t>
      </w:r>
      <w:r>
        <w:rPr>
          <w:rFonts w:ascii="Times New Roman" w:hAnsi="Times New Roman"/>
          <w:b/>
          <w:bCs/>
          <w:szCs w:val="32"/>
        </w:rPr>
        <w:t>一区两群</w:t>
      </w:r>
      <w:r>
        <w:rPr>
          <w:rFonts w:hint="eastAsia" w:ascii="Times New Roman" w:hAnsi="Times New Roman"/>
          <w:b/>
          <w:bCs/>
          <w:szCs w:val="32"/>
        </w:rPr>
        <w:t>”</w:t>
      </w:r>
      <w:r>
        <w:rPr>
          <w:rFonts w:ascii="Times New Roman" w:hAnsi="Times New Roman"/>
          <w:b/>
          <w:bCs/>
          <w:szCs w:val="32"/>
        </w:rPr>
        <w:t>协调发展。</w:t>
      </w:r>
    </w:p>
    <w:p w14:paraId="78142B50">
      <w:pPr>
        <w:spacing w:line="600" w:lineRule="exact"/>
        <w:ind w:firstLine="640"/>
        <w:rPr>
          <w:rFonts w:ascii="Times New Roman" w:hAnsi="Times New Roman"/>
          <w:szCs w:val="32"/>
        </w:rPr>
      </w:pPr>
      <w:r>
        <w:rPr>
          <w:rFonts w:ascii="Times New Roman" w:hAnsi="Times New Roman"/>
          <w:szCs w:val="32"/>
        </w:rPr>
        <w:t>需要区域交通互联互通，充分发挥丰都节点城市作用</w:t>
      </w:r>
      <w:bookmarkEnd w:id="41"/>
      <w:bookmarkEnd w:id="42"/>
      <w:bookmarkEnd w:id="43"/>
      <w:bookmarkEnd w:id="44"/>
      <w:bookmarkEnd w:id="45"/>
      <w:bookmarkEnd w:id="46"/>
      <w:bookmarkEnd w:id="47"/>
      <w:r>
        <w:rPr>
          <w:rFonts w:ascii="Times New Roman" w:hAnsi="Times New Roman"/>
          <w:szCs w:val="32"/>
        </w:rPr>
        <w:t>和通道作用。</w:t>
      </w:r>
    </w:p>
    <w:p w14:paraId="27AE8C0C">
      <w:pPr>
        <w:spacing w:line="600" w:lineRule="exact"/>
        <w:ind w:firstLine="640"/>
        <w:rPr>
          <w:rFonts w:ascii="Times New Roman" w:hAnsi="Times New Roman"/>
          <w:szCs w:val="32"/>
        </w:rPr>
      </w:pPr>
      <w:r>
        <w:rPr>
          <w:rFonts w:ascii="Times New Roman" w:hAnsi="Times New Roman"/>
          <w:szCs w:val="32"/>
        </w:rPr>
        <w:t>推进</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协调发展是贯彻落实习近平总书记重要指示精神、推动成渝地区双城经济圈的重要部署，是重庆提升国家中心城市整体竞争力、促进区域协调发展、更好发挥</w:t>
      </w:r>
      <w:r>
        <w:rPr>
          <w:rFonts w:hint="eastAsia" w:ascii="Times New Roman" w:hAnsi="Times New Roman"/>
          <w:szCs w:val="32"/>
        </w:rPr>
        <w:t>“</w:t>
      </w:r>
      <w:r>
        <w:rPr>
          <w:rFonts w:ascii="Times New Roman" w:hAnsi="Times New Roman"/>
          <w:szCs w:val="32"/>
        </w:rPr>
        <w:t>三个作用</w:t>
      </w:r>
      <w:r>
        <w:rPr>
          <w:rFonts w:hint="eastAsia" w:ascii="Times New Roman" w:hAnsi="Times New Roman"/>
          <w:szCs w:val="32"/>
        </w:rPr>
        <w:t>”</w:t>
      </w:r>
      <w:r>
        <w:rPr>
          <w:rFonts w:ascii="Times New Roman" w:hAnsi="Times New Roman"/>
          <w:szCs w:val="32"/>
        </w:rPr>
        <w:t>的路径选择。</w:t>
      </w:r>
    </w:p>
    <w:p w14:paraId="43626FC6">
      <w:pPr>
        <w:spacing w:line="600" w:lineRule="exact"/>
        <w:ind w:firstLine="640"/>
        <w:rPr>
          <w:rFonts w:ascii="Times New Roman" w:hAnsi="Times New Roman"/>
          <w:szCs w:val="32"/>
        </w:rPr>
      </w:pPr>
      <w:r>
        <w:rPr>
          <w:rFonts w:ascii="Times New Roman" w:hAnsi="Times New Roman"/>
          <w:szCs w:val="32"/>
        </w:rPr>
        <w:t>重庆市委、市政府科学谋划三峡新区建设，要求丰都</w:t>
      </w:r>
      <w:r>
        <w:rPr>
          <w:rFonts w:hint="eastAsia" w:ascii="Times New Roman" w:hAnsi="Times New Roman"/>
          <w:szCs w:val="32"/>
        </w:rPr>
        <w:t>-</w:t>
      </w:r>
      <w:r>
        <w:rPr>
          <w:rFonts w:ascii="Times New Roman" w:hAnsi="Times New Roman"/>
          <w:szCs w:val="32"/>
        </w:rPr>
        <w:t>忠县依托涪陵发挥联结</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的沿江通道作用，打造绿色工业和特色农牧产业基地，明确定位丰都是</w:t>
      </w:r>
      <w:r>
        <w:rPr>
          <w:rFonts w:hint="eastAsia" w:ascii="Times New Roman" w:hAnsi="Times New Roman"/>
          <w:szCs w:val="32"/>
          <w:lang w:eastAsia="zh-CN"/>
        </w:rPr>
        <w:t>连接</w:t>
      </w:r>
      <w:r>
        <w:rPr>
          <w:rFonts w:ascii="Times New Roman" w:hAnsi="Times New Roman"/>
          <w:szCs w:val="32"/>
        </w:rPr>
        <w:t>主城都市区、渝东南的重要节点，重要的绿色工业基地、农牧产业基地、长江三峡国际黄金旅游带节点城市和休闲度假康养基地。要求丰都交通牢牢把握交通运输</w:t>
      </w:r>
      <w:r>
        <w:rPr>
          <w:rFonts w:hint="eastAsia" w:ascii="Times New Roman" w:hAnsi="Times New Roman"/>
          <w:szCs w:val="32"/>
        </w:rPr>
        <w:t>“</w:t>
      </w:r>
      <w:r>
        <w:rPr>
          <w:rFonts w:ascii="Times New Roman" w:hAnsi="Times New Roman"/>
          <w:szCs w:val="32"/>
        </w:rPr>
        <w:t>开路先锋</w:t>
      </w:r>
      <w:r>
        <w:rPr>
          <w:rFonts w:hint="eastAsia" w:ascii="Times New Roman" w:hAnsi="Times New Roman"/>
          <w:szCs w:val="32"/>
        </w:rPr>
        <w:t>”</w:t>
      </w:r>
      <w:r>
        <w:rPr>
          <w:rFonts w:ascii="Times New Roman" w:hAnsi="Times New Roman"/>
          <w:szCs w:val="32"/>
        </w:rPr>
        <w:t>战略定位和基础性、先导性、战略性、服务性的功能属性，围绕山水丰茂、物产丰盛、人文丰厚</w:t>
      </w:r>
      <w:r>
        <w:rPr>
          <w:rFonts w:hint="eastAsia" w:ascii="Times New Roman" w:hAnsi="Times New Roman"/>
          <w:szCs w:val="32"/>
        </w:rPr>
        <w:t>“</w:t>
      </w:r>
      <w:r>
        <w:rPr>
          <w:rFonts w:ascii="Times New Roman" w:hAnsi="Times New Roman"/>
          <w:szCs w:val="32"/>
        </w:rPr>
        <w:t>三丰</w:t>
      </w:r>
      <w:r>
        <w:rPr>
          <w:rFonts w:hint="eastAsia" w:ascii="Times New Roman" w:hAnsi="Times New Roman"/>
          <w:szCs w:val="32"/>
        </w:rPr>
        <w:t>”</w:t>
      </w:r>
      <w:r>
        <w:rPr>
          <w:rFonts w:ascii="Times New Roman" w:hAnsi="Times New Roman"/>
          <w:szCs w:val="32"/>
        </w:rPr>
        <w:t>优势，突出成渝地区双城经济圈节点、沿江通道、</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联结点</w:t>
      </w:r>
      <w:r>
        <w:rPr>
          <w:rFonts w:hint="eastAsia" w:ascii="Times New Roman" w:hAnsi="Times New Roman"/>
          <w:szCs w:val="32"/>
        </w:rPr>
        <w:t>“</w:t>
      </w:r>
      <w:r>
        <w:rPr>
          <w:rFonts w:ascii="Times New Roman" w:hAnsi="Times New Roman"/>
          <w:szCs w:val="32"/>
        </w:rPr>
        <w:t>三个功能</w:t>
      </w:r>
      <w:r>
        <w:rPr>
          <w:rFonts w:hint="eastAsia" w:ascii="Times New Roman" w:hAnsi="Times New Roman"/>
          <w:szCs w:val="32"/>
        </w:rPr>
        <w:t>”</w:t>
      </w:r>
      <w:r>
        <w:rPr>
          <w:rFonts w:ascii="Times New Roman" w:hAnsi="Times New Roman"/>
          <w:szCs w:val="32"/>
        </w:rPr>
        <w:t>，大力推动以交通为重点的基础设施融合发展，优化交通组织，打通与忠县、石柱、涪陵等周边区域交通循环，促进多向多式互联互通，构建高效便捷的基础设施网络，支撑特色农牧、旅游等重点产业发展。</w:t>
      </w:r>
    </w:p>
    <w:p w14:paraId="7171BC8E">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丰都</w:t>
      </w:r>
      <w:r>
        <w:rPr>
          <w:rFonts w:hint="eastAsia" w:ascii="Times New Roman" w:hAnsi="Times New Roman"/>
          <w:szCs w:val="32"/>
        </w:rPr>
        <w:t>-</w:t>
      </w:r>
      <w:r>
        <w:rPr>
          <w:rFonts w:ascii="Times New Roman" w:hAnsi="Times New Roman"/>
          <w:szCs w:val="32"/>
        </w:rPr>
        <w:t>忠县</w:t>
      </w:r>
      <w:r>
        <w:rPr>
          <w:rFonts w:hint="eastAsia" w:ascii="Times New Roman" w:hAnsi="Times New Roman"/>
          <w:szCs w:val="32"/>
        </w:rPr>
        <w:t>”板块</w:t>
      </w:r>
      <w:r>
        <w:rPr>
          <w:rFonts w:ascii="Times New Roman" w:hAnsi="Times New Roman"/>
          <w:szCs w:val="32"/>
        </w:rPr>
        <w:t>，位于三峡库区腹心地带，处于联结</w:t>
      </w:r>
      <w:r>
        <w:rPr>
          <w:rFonts w:hint="eastAsia" w:ascii="Times New Roman" w:hAnsi="Times New Roman"/>
          <w:szCs w:val="32"/>
        </w:rPr>
        <w:t>“</w:t>
      </w:r>
      <w:r>
        <w:rPr>
          <w:rFonts w:ascii="Times New Roman" w:hAnsi="Times New Roman"/>
          <w:szCs w:val="32"/>
        </w:rPr>
        <w:t>两群</w:t>
      </w:r>
      <w:r>
        <w:rPr>
          <w:rFonts w:hint="eastAsia" w:ascii="Times New Roman" w:hAnsi="Times New Roman"/>
          <w:szCs w:val="32"/>
        </w:rPr>
        <w:t>”</w:t>
      </w:r>
      <w:r>
        <w:rPr>
          <w:rFonts w:ascii="Times New Roman" w:hAnsi="Times New Roman"/>
          <w:szCs w:val="32"/>
        </w:rPr>
        <w:t>重要位置，要发挥沿江通道作用，联动石柱等周边区县，高标准建设三峡库区旅游胜地和绿色工业、特色农牧产业基地。要求丰都未来在抓好生态保护的基础上，发挥好连接</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的通道节点作用</w:t>
      </w:r>
      <w:r>
        <w:rPr>
          <w:rFonts w:hint="eastAsia" w:ascii="Times New Roman" w:hAnsi="Times New Roman"/>
          <w:szCs w:val="32"/>
        </w:rPr>
        <w:t>。</w:t>
      </w:r>
    </w:p>
    <w:p w14:paraId="4E2F1F54">
      <w:pPr>
        <w:pStyle w:val="5"/>
        <w:keepNext w:val="0"/>
        <w:keepLines w:val="0"/>
        <w:spacing w:line="600" w:lineRule="exact"/>
        <w:ind w:firstLine="643" w:firstLineChars="200"/>
        <w:rPr>
          <w:rFonts w:eastAsia="方正仿宋_GBK"/>
        </w:rPr>
      </w:pPr>
      <w:bookmarkStart w:id="48" w:name="_Toc16123"/>
      <w:bookmarkStart w:id="49" w:name="_Toc84870254"/>
      <w:bookmarkStart w:id="50" w:name="_Toc49246025"/>
      <w:bookmarkStart w:id="51" w:name="_Toc49366796"/>
      <w:bookmarkStart w:id="52" w:name="_Toc2533"/>
      <w:bookmarkStart w:id="53" w:name="_Toc51758645"/>
      <w:bookmarkStart w:id="54" w:name="_Toc78728240"/>
      <w:bookmarkStart w:id="55" w:name="_Toc78363608"/>
      <w:r>
        <w:rPr>
          <w:rFonts w:eastAsia="方正仿宋_GBK"/>
        </w:rPr>
        <w:t>形势4：技术革命和智能化建设。</w:t>
      </w:r>
      <w:bookmarkEnd w:id="48"/>
    </w:p>
    <w:p w14:paraId="66D5B10F">
      <w:pPr>
        <w:pStyle w:val="5"/>
        <w:keepNext w:val="0"/>
        <w:keepLines w:val="0"/>
        <w:spacing w:line="600" w:lineRule="exact"/>
        <w:ind w:firstLine="640" w:firstLineChars="200"/>
        <w:rPr>
          <w:rFonts w:eastAsia="方正仿宋_GBK"/>
          <w:b w:val="0"/>
          <w:bCs w:val="0"/>
        </w:rPr>
      </w:pPr>
      <w:bookmarkStart w:id="56" w:name="_Toc17346"/>
      <w:r>
        <w:rPr>
          <w:rFonts w:eastAsia="方正仿宋_GBK"/>
          <w:b w:val="0"/>
          <w:bCs w:val="0"/>
        </w:rPr>
        <w:t>需要综合交通提质增效，转变交通发展方式</w:t>
      </w:r>
      <w:bookmarkEnd w:id="49"/>
      <w:bookmarkEnd w:id="50"/>
      <w:bookmarkEnd w:id="51"/>
      <w:bookmarkEnd w:id="52"/>
      <w:bookmarkEnd w:id="53"/>
      <w:bookmarkEnd w:id="54"/>
      <w:bookmarkEnd w:id="55"/>
      <w:r>
        <w:rPr>
          <w:rFonts w:eastAsia="方正仿宋_GBK"/>
          <w:b w:val="0"/>
          <w:bCs w:val="0"/>
        </w:rPr>
        <w:t>。</w:t>
      </w:r>
      <w:bookmarkEnd w:id="56"/>
    </w:p>
    <w:p w14:paraId="59349D75">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随着新一轮技术革命和产业变革的深入推进，以5G、人工智能、大数据等为代表的新一轮信息技术将广泛而深入的渗透到交通发展各个方面，交通运输新技术、新业态、新模式将层出不穷，交通发展要坚持以供给侧结构性改革为主线，创新交通治理体系，推动新型交通基础设施建设，发展智慧交通、绿色交通，积极探索出一条生态优先、绿色发展新路子，推动交通运输高质量发展。</w:t>
      </w:r>
    </w:p>
    <w:p w14:paraId="76159F93">
      <w:pPr>
        <w:pStyle w:val="6"/>
        <w:spacing w:before="0" w:line="600" w:lineRule="exact"/>
        <w:ind w:left="0" w:firstLine="643" w:firstLineChars="200"/>
        <w:rPr>
          <w:rFonts w:ascii="Times New Roman" w:hAnsi="Times New Roman" w:eastAsia="方正仿宋_GBK"/>
          <w:b/>
          <w:bCs/>
          <w:sz w:val="32"/>
          <w:szCs w:val="32"/>
        </w:rPr>
      </w:pPr>
      <w:r>
        <w:rPr>
          <w:rFonts w:ascii="Times New Roman" w:hAnsi="Times New Roman" w:eastAsia="方正仿宋_GBK"/>
          <w:b/>
          <w:bCs/>
          <w:sz w:val="32"/>
          <w:szCs w:val="32"/>
        </w:rPr>
        <w:t>形势5：丰都经济社会高质量发展。</w:t>
      </w:r>
    </w:p>
    <w:p w14:paraId="1807F6B5">
      <w:pPr>
        <w:pStyle w:val="6"/>
        <w:spacing w:before="0" w:line="600" w:lineRule="exact"/>
        <w:ind w:left="0" w:firstLine="640" w:firstLineChars="200"/>
        <w:rPr>
          <w:rFonts w:ascii="Times New Roman" w:hAnsi="Times New Roman" w:eastAsia="方正仿宋_GBK"/>
          <w:kern w:val="2"/>
          <w:sz w:val="32"/>
          <w:szCs w:val="32"/>
        </w:rPr>
      </w:pPr>
      <w:r>
        <w:rPr>
          <w:rFonts w:ascii="Times New Roman" w:hAnsi="Times New Roman" w:eastAsia="方正仿宋_GBK"/>
          <w:sz w:val="32"/>
          <w:szCs w:val="32"/>
        </w:rPr>
        <w:t>需要</w:t>
      </w:r>
      <w:r>
        <w:rPr>
          <w:rFonts w:hint="eastAsia" w:ascii="Times New Roman" w:hAnsi="Times New Roman" w:eastAsia="方正仿宋_GBK"/>
          <w:sz w:val="32"/>
          <w:szCs w:val="32"/>
        </w:rPr>
        <w:t>“</w:t>
      </w:r>
      <w:r>
        <w:rPr>
          <w:rFonts w:ascii="Times New Roman" w:hAnsi="Times New Roman" w:eastAsia="方正仿宋_GBK"/>
          <w:sz w:val="32"/>
          <w:szCs w:val="32"/>
        </w:rPr>
        <w:t>交通+产业</w:t>
      </w:r>
      <w:r>
        <w:rPr>
          <w:rFonts w:hint="eastAsia" w:ascii="Times New Roman" w:hAnsi="Times New Roman" w:eastAsia="方正仿宋_GBK"/>
          <w:sz w:val="32"/>
          <w:szCs w:val="32"/>
        </w:rPr>
        <w:t>”</w:t>
      </w:r>
      <w:r>
        <w:rPr>
          <w:rFonts w:ascii="Times New Roman" w:hAnsi="Times New Roman" w:eastAsia="方正仿宋_GBK"/>
          <w:sz w:val="32"/>
          <w:szCs w:val="32"/>
        </w:rPr>
        <w:t xml:space="preserve">融合发展，推动城乡交通一体化和乡村振兴。  </w:t>
      </w:r>
    </w:p>
    <w:p w14:paraId="31BBA4EF">
      <w:pPr>
        <w:spacing w:line="600" w:lineRule="exact"/>
        <w:ind w:firstLine="640" w:firstLineChars="200"/>
        <w:rPr>
          <w:rFonts w:ascii="Times New Roman" w:hAnsi="Times New Roman"/>
          <w:szCs w:val="32"/>
        </w:rPr>
      </w:pPr>
      <w:r>
        <w:rPr>
          <w:rFonts w:hint="eastAsia" w:ascii="Times New Roman" w:hAnsi="Times New Roman"/>
          <w:szCs w:val="32"/>
          <w:lang w:eastAsia="zh-CN"/>
        </w:rPr>
        <w:t>“十三五”</w:t>
      </w:r>
      <w:r>
        <w:rPr>
          <w:rFonts w:ascii="Times New Roman" w:hAnsi="Times New Roman"/>
          <w:szCs w:val="32"/>
        </w:rPr>
        <w:t>，全县地区生产总值年均增长8%，2020年达到335.4亿元，人均地区生产总值达到5.5万元，固定资产投资累计完成850亿元。成功跻身中国西部百强县（市）。二、三产业双轮驱动作用更趋均衡，三次产业比重由19：47.5：33.5调整优化为14：44：42。全域旅游持续发展，旅游综合收入达到91.46亿元。</w:t>
      </w:r>
      <w:r>
        <w:rPr>
          <w:rFonts w:hint="eastAsia" w:ascii="Times New Roman" w:hAnsi="Times New Roman"/>
          <w:szCs w:val="32"/>
        </w:rPr>
        <w:t>“</w:t>
      </w:r>
      <w:r>
        <w:rPr>
          <w:rFonts w:ascii="Times New Roman" w:hAnsi="Times New Roman"/>
          <w:szCs w:val="32"/>
        </w:rPr>
        <w:t>1+4+X</w:t>
      </w:r>
      <w:r>
        <w:rPr>
          <w:rFonts w:hint="eastAsia" w:ascii="Times New Roman" w:hAnsi="Times New Roman"/>
          <w:szCs w:val="32"/>
        </w:rPr>
        <w:t>”</w:t>
      </w:r>
      <w:r>
        <w:rPr>
          <w:rStyle w:val="15"/>
          <w:rFonts w:eastAsia="方正仿宋_GBK"/>
          <w:szCs w:val="32"/>
        </w:rPr>
        <w:footnoteReference w:id="0"/>
      </w:r>
      <w:r>
        <w:rPr>
          <w:rFonts w:ascii="Times New Roman" w:hAnsi="Times New Roman"/>
          <w:szCs w:val="32"/>
        </w:rPr>
        <w:t>现代山地特色高效农业加快发展，现代畜禽产业基地渐成规模，农林牧渔业总产值达到73.42亿元。</w:t>
      </w:r>
    </w:p>
    <w:p w14:paraId="2C767EFA">
      <w:pPr>
        <w:pStyle w:val="6"/>
        <w:spacing w:before="0" w:line="600" w:lineRule="exact"/>
        <w:ind w:left="0"/>
        <w:rPr>
          <w:rFonts w:ascii="Times New Roman" w:hAnsi="Times New Roman" w:eastAsia="方正仿宋_GBK"/>
          <w:kern w:val="2"/>
          <w:sz w:val="32"/>
          <w:szCs w:val="32"/>
        </w:rPr>
      </w:pPr>
      <w:r>
        <w:rPr>
          <w:rFonts w:ascii="Times New Roman" w:hAnsi="Times New Roman" w:eastAsia="方正仿宋_GBK"/>
          <w:kern w:val="2"/>
          <w:sz w:val="32"/>
          <w:szCs w:val="32"/>
        </w:rPr>
        <w:t xml:space="preserve">    市委陈敏尔书记两次亲临丰都调研指导，提出了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山水丰茂、物产丰盛、人文丰厚</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三丰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优势要求和</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郊区新城</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的建设要求，为丰都高质量发展指明了方向路径、注入了强大动力。县十五次党代会明确了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3335</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发展战略，提出了建设现代化美丽丰都的发展目标，为</w:t>
      </w:r>
      <w:r>
        <w:rPr>
          <w:rFonts w:hint="eastAsia" w:ascii="Times New Roman" w:hAnsi="Times New Roman" w:eastAsia="方正仿宋_GBK"/>
          <w:kern w:val="2"/>
          <w:sz w:val="32"/>
          <w:szCs w:val="32"/>
        </w:rPr>
        <w:t>“十四五”</w:t>
      </w:r>
      <w:r>
        <w:rPr>
          <w:rFonts w:ascii="Times New Roman" w:hAnsi="Times New Roman" w:eastAsia="方正仿宋_GBK"/>
          <w:kern w:val="2"/>
          <w:sz w:val="32"/>
          <w:szCs w:val="32"/>
        </w:rPr>
        <w:t>丰都经济社会高质量发展绘就了发展蓝图。</w:t>
      </w:r>
    </w:p>
    <w:p w14:paraId="016B39AB">
      <w:pPr>
        <w:spacing w:line="600" w:lineRule="exact"/>
        <w:ind w:firstLine="640" w:firstLineChars="200"/>
        <w:rPr>
          <w:rFonts w:ascii="Times New Roman" w:hAnsi="Times New Roman"/>
          <w:szCs w:val="32"/>
        </w:rPr>
      </w:pPr>
      <w:r>
        <w:rPr>
          <w:rFonts w:hint="eastAsia" w:ascii="Times New Roman" w:hAnsi="Times New Roman"/>
          <w:szCs w:val="32"/>
        </w:rPr>
        <w:t>“十四五”</w:t>
      </w:r>
      <w:r>
        <w:rPr>
          <w:rFonts w:ascii="Times New Roman" w:hAnsi="Times New Roman"/>
          <w:szCs w:val="32"/>
        </w:rPr>
        <w:t>末，到2025年，地区生产总值年均增速高于全市平均水平，保持在7%左右，经济总量突破500亿元。基本建成</w:t>
      </w:r>
      <w:r>
        <w:rPr>
          <w:rFonts w:hint="eastAsia" w:ascii="Times New Roman" w:hAnsi="Times New Roman"/>
          <w:szCs w:val="32"/>
        </w:rPr>
        <w:t>“</w:t>
      </w:r>
      <w:r>
        <w:rPr>
          <w:rFonts w:ascii="Times New Roman" w:hAnsi="Times New Roman"/>
          <w:szCs w:val="32"/>
        </w:rPr>
        <w:t>全市度假康养基地、现代畜禽产业基地、绿色工业基地、商贸物流基地</w:t>
      </w:r>
      <w:r>
        <w:rPr>
          <w:rFonts w:hint="eastAsia" w:ascii="Times New Roman" w:hAnsi="Times New Roman"/>
          <w:szCs w:val="32"/>
        </w:rPr>
        <w:t>”</w:t>
      </w:r>
      <w:r>
        <w:rPr>
          <w:rFonts w:ascii="Times New Roman" w:hAnsi="Times New Roman"/>
          <w:szCs w:val="32"/>
        </w:rPr>
        <w:t>四大基地，旅游综合收入达到200亿元，农业增加值超过60亿元，工业总产值突破500亿元，社会消费品零售总额达到300亿元以上，就需要交通发挥开路先锋作用，着力推进</w:t>
      </w:r>
      <w:r>
        <w:rPr>
          <w:rFonts w:hint="eastAsia" w:ascii="Times New Roman" w:hAnsi="Times New Roman"/>
          <w:szCs w:val="32"/>
        </w:rPr>
        <w:t>“</w:t>
      </w:r>
      <w:r>
        <w:rPr>
          <w:rFonts w:ascii="Times New Roman" w:hAnsi="Times New Roman"/>
          <w:szCs w:val="32"/>
        </w:rPr>
        <w:t>交通+旅游</w:t>
      </w:r>
      <w:r>
        <w:rPr>
          <w:rFonts w:hint="eastAsia" w:ascii="Times New Roman" w:hAnsi="Times New Roman"/>
          <w:szCs w:val="32"/>
        </w:rPr>
        <w:t>”</w:t>
      </w:r>
      <w:r>
        <w:rPr>
          <w:rFonts w:ascii="Times New Roman" w:hAnsi="Times New Roman"/>
          <w:szCs w:val="32"/>
        </w:rPr>
        <w:t>、</w:t>
      </w:r>
      <w:r>
        <w:rPr>
          <w:rFonts w:hint="eastAsia" w:ascii="Times New Roman" w:hAnsi="Times New Roman"/>
          <w:szCs w:val="32"/>
        </w:rPr>
        <w:t>“</w:t>
      </w:r>
      <w:r>
        <w:rPr>
          <w:rFonts w:ascii="Times New Roman" w:hAnsi="Times New Roman"/>
          <w:szCs w:val="32"/>
        </w:rPr>
        <w:t>交通+农业</w:t>
      </w:r>
      <w:r>
        <w:rPr>
          <w:rFonts w:hint="eastAsia" w:ascii="Times New Roman" w:hAnsi="Times New Roman"/>
          <w:szCs w:val="32"/>
        </w:rPr>
        <w:t>”</w:t>
      </w:r>
      <w:r>
        <w:rPr>
          <w:rFonts w:ascii="Times New Roman" w:hAnsi="Times New Roman"/>
          <w:szCs w:val="32"/>
        </w:rPr>
        <w:t>、</w:t>
      </w:r>
      <w:r>
        <w:rPr>
          <w:rFonts w:hint="eastAsia" w:ascii="Times New Roman" w:hAnsi="Times New Roman"/>
          <w:szCs w:val="32"/>
        </w:rPr>
        <w:t>“</w:t>
      </w:r>
      <w:r>
        <w:rPr>
          <w:rFonts w:ascii="Times New Roman" w:hAnsi="Times New Roman"/>
          <w:szCs w:val="32"/>
        </w:rPr>
        <w:t>交通+工业</w:t>
      </w:r>
      <w:r>
        <w:rPr>
          <w:rFonts w:hint="eastAsia" w:ascii="Times New Roman" w:hAnsi="Times New Roman"/>
          <w:szCs w:val="32"/>
        </w:rPr>
        <w:t>”</w:t>
      </w:r>
      <w:r>
        <w:rPr>
          <w:rFonts w:ascii="Times New Roman" w:hAnsi="Times New Roman"/>
          <w:szCs w:val="32"/>
        </w:rPr>
        <w:t>融合发展，实行城乡一体化推进，着力构建</w:t>
      </w:r>
      <w:r>
        <w:rPr>
          <w:rFonts w:hint="eastAsia" w:ascii="Times New Roman" w:hAnsi="Times New Roman"/>
          <w:szCs w:val="32"/>
        </w:rPr>
        <w:t>“</w:t>
      </w:r>
      <w:r>
        <w:rPr>
          <w:rFonts w:ascii="Times New Roman" w:hAnsi="Times New Roman"/>
          <w:szCs w:val="32"/>
        </w:rPr>
        <w:t>互通高速路、乡乡三级路、村村双车道、社社通畅路</w:t>
      </w:r>
      <w:r>
        <w:rPr>
          <w:rFonts w:hint="eastAsia" w:ascii="Times New Roman" w:hAnsi="Times New Roman"/>
          <w:szCs w:val="32"/>
        </w:rPr>
        <w:t>”</w:t>
      </w:r>
      <w:r>
        <w:rPr>
          <w:rFonts w:ascii="Times New Roman" w:hAnsi="Times New Roman"/>
          <w:szCs w:val="32"/>
        </w:rPr>
        <w:t>高质量交通格局，以实现</w:t>
      </w:r>
      <w:r>
        <w:rPr>
          <w:rFonts w:hint="eastAsia" w:ascii="Times New Roman" w:hAnsi="Times New Roman"/>
          <w:szCs w:val="32"/>
        </w:rPr>
        <w:t>“</w:t>
      </w:r>
      <w:r>
        <w:rPr>
          <w:rFonts w:ascii="Times New Roman" w:hAnsi="Times New Roman"/>
          <w:szCs w:val="32"/>
        </w:rPr>
        <w:t>现代化美丽丰都</w:t>
      </w:r>
      <w:r>
        <w:rPr>
          <w:rFonts w:hint="eastAsia" w:ascii="Times New Roman" w:hAnsi="Times New Roman"/>
          <w:szCs w:val="32"/>
        </w:rPr>
        <w:t>”</w:t>
      </w:r>
      <w:r>
        <w:rPr>
          <w:rFonts w:ascii="Times New Roman" w:hAnsi="Times New Roman"/>
          <w:szCs w:val="32"/>
        </w:rPr>
        <w:t>建设目标。</w:t>
      </w:r>
    </w:p>
    <w:p w14:paraId="34E2ED87">
      <w:pPr>
        <w:pStyle w:val="4"/>
        <w:keepNext w:val="0"/>
        <w:keepLines w:val="0"/>
        <w:widowControl w:val="0"/>
        <w:spacing w:beforeLines="0" w:afterLines="0"/>
        <w:ind w:firstLine="640"/>
        <w:rPr>
          <w:b w:val="0"/>
          <w:bCs w:val="0"/>
          <w:kern w:val="28"/>
        </w:rPr>
      </w:pPr>
      <w:bookmarkStart w:id="57" w:name="_Toc28581"/>
      <w:bookmarkStart w:id="58" w:name="_Toc51758646"/>
      <w:bookmarkStart w:id="59" w:name="_Toc84870255"/>
      <w:r>
        <w:rPr>
          <w:b w:val="0"/>
          <w:bCs w:val="0"/>
          <w:kern w:val="28"/>
        </w:rPr>
        <w:t>（二）</w:t>
      </w:r>
      <w:r>
        <w:rPr>
          <w:rFonts w:hint="eastAsia"/>
          <w:b w:val="0"/>
          <w:bCs w:val="0"/>
          <w:kern w:val="28"/>
        </w:rPr>
        <w:t>“</w:t>
      </w:r>
      <w:r>
        <w:rPr>
          <w:b w:val="0"/>
          <w:bCs w:val="0"/>
          <w:kern w:val="28"/>
        </w:rPr>
        <w:t>十四五</w:t>
      </w:r>
      <w:r>
        <w:rPr>
          <w:rFonts w:hint="eastAsia"/>
          <w:b w:val="0"/>
          <w:bCs w:val="0"/>
          <w:kern w:val="28"/>
        </w:rPr>
        <w:t>”</w:t>
      </w:r>
      <w:r>
        <w:rPr>
          <w:b w:val="0"/>
          <w:bCs w:val="0"/>
          <w:kern w:val="28"/>
        </w:rPr>
        <w:t>阶段特征</w:t>
      </w:r>
      <w:bookmarkEnd w:id="57"/>
      <w:bookmarkEnd w:id="58"/>
      <w:bookmarkEnd w:id="59"/>
    </w:p>
    <w:p w14:paraId="6DCA803E">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时期是我国</w:t>
      </w:r>
      <w:r>
        <w:rPr>
          <w:rFonts w:hint="eastAsia" w:ascii="Times New Roman" w:hAnsi="Times New Roman"/>
          <w:szCs w:val="32"/>
          <w:lang w:eastAsia="zh-CN"/>
        </w:rPr>
        <w:t>“两个一百年”奋斗目标</w:t>
      </w:r>
      <w:r>
        <w:rPr>
          <w:rFonts w:ascii="Times New Roman" w:hAnsi="Times New Roman"/>
          <w:szCs w:val="32"/>
        </w:rPr>
        <w:t>的历史交汇时期，是全面开启建设社会主义现代化强国的新征程的重要机遇时期，是全县疫情防控巩固关键期、经济社会发展恢复提振期、成渝地区双城经济圈建设重大战略机遇期，全县交通发展呈现出一系列新的趋势性特征。</w:t>
      </w:r>
    </w:p>
    <w:p w14:paraId="1A41A9BE">
      <w:pPr>
        <w:spacing w:line="600" w:lineRule="exact"/>
        <w:ind w:firstLine="640" w:firstLineChars="200"/>
        <w:rPr>
          <w:rFonts w:ascii="Times New Roman" w:hAnsi="Times New Roman"/>
          <w:szCs w:val="32"/>
        </w:rPr>
      </w:pPr>
      <w:r>
        <w:rPr>
          <w:rFonts w:ascii="Times New Roman" w:hAnsi="Times New Roman"/>
          <w:szCs w:val="32"/>
        </w:rPr>
        <w:t>1. 设施完善的交汇期。当前，丰都综合交通运输骨架网络基本完善建成，但仍存在高铁通道缺失、高速进城拥堵、港口优势不明显等突出问题。</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丰都交通将抢抓成渝地区双城经济圈建设、新时代推进西部大开发形成新格局等战略机遇，进一步围绕抓重点、补短板、强弱项，加快构建对外通道，畅通内部循环，完善基础设施网络，提高与成渝地区双城经济圈大枢纽、大交通的互联互通水平。</w:t>
      </w:r>
    </w:p>
    <w:p w14:paraId="35618542">
      <w:pPr>
        <w:spacing w:line="600" w:lineRule="exact"/>
        <w:ind w:firstLine="640" w:firstLineChars="200"/>
        <w:rPr>
          <w:rFonts w:ascii="Times New Roman" w:hAnsi="Times New Roman"/>
          <w:szCs w:val="32"/>
        </w:rPr>
      </w:pPr>
      <w:r>
        <w:rPr>
          <w:rFonts w:ascii="Times New Roman" w:hAnsi="Times New Roman"/>
          <w:szCs w:val="32"/>
        </w:rPr>
        <w:t>2. 协调发展的融合期。当前，丰都正大力推进融入主城都市区和连接渝东北、渝东南城镇群的交通枢纽。</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期，丰都交通将立足</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协调发展战略，坚持一体化规划、协同性建设，统筹交通与产业、城镇、旅游的融合，统筹交通在毗邻区县间、城乡间的融合，统筹铁公水空一体化、公路与城市道路衔接，建设便捷顺畅、经济高效交通基础设施网络，实现形成城乡交通一体化协调发展的良好局面，支撑高品质生活建设。</w:t>
      </w:r>
    </w:p>
    <w:p w14:paraId="05298153">
      <w:pPr>
        <w:spacing w:line="600" w:lineRule="exact"/>
        <w:ind w:firstLine="640" w:firstLineChars="200"/>
        <w:rPr>
          <w:rFonts w:ascii="Times New Roman" w:hAnsi="Times New Roman"/>
          <w:szCs w:val="32"/>
        </w:rPr>
      </w:pPr>
      <w:r>
        <w:rPr>
          <w:rFonts w:ascii="Times New Roman" w:hAnsi="Times New Roman"/>
          <w:szCs w:val="32"/>
        </w:rPr>
        <w:t>3. 精细管理的提质期。当前，丰都正大力发展智慧交通，依托</w:t>
      </w:r>
      <w:r>
        <w:rPr>
          <w:rFonts w:hint="eastAsia" w:ascii="Times New Roman" w:hAnsi="Times New Roman"/>
          <w:szCs w:val="32"/>
        </w:rPr>
        <w:t>“</w:t>
      </w:r>
      <w:r>
        <w:rPr>
          <w:rFonts w:ascii="Times New Roman" w:hAnsi="Times New Roman"/>
          <w:szCs w:val="32"/>
        </w:rPr>
        <w:t>以奖代补考核数据</w:t>
      </w:r>
      <w:r>
        <w:rPr>
          <w:rFonts w:hint="eastAsia" w:ascii="Times New Roman" w:hAnsi="Times New Roman"/>
          <w:szCs w:val="32"/>
        </w:rPr>
        <w:t>”</w:t>
      </w:r>
      <w:r>
        <w:rPr>
          <w:rFonts w:ascii="Times New Roman" w:hAnsi="Times New Roman"/>
          <w:szCs w:val="32"/>
        </w:rPr>
        <w:t>支撑系统，推动交通精细化管理。</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随着交通运输新技术、新业态、新基建的不断发展，丰都交通智能化、数字化要求更高，要求交通行业转变管理方式，更多依托新技术、大数据促进交通运输提质增效，推动交通基础设施数字转型、智能升级，提升行业管理的效率，为人民群众提供高品质的出行服务。</w:t>
      </w:r>
    </w:p>
    <w:p w14:paraId="4DE42D45">
      <w:pPr>
        <w:spacing w:line="600" w:lineRule="exact"/>
        <w:ind w:firstLine="640" w:firstLineChars="200"/>
        <w:rPr>
          <w:rFonts w:ascii="Times New Roman" w:hAnsi="Times New Roman"/>
          <w:szCs w:val="32"/>
        </w:rPr>
      </w:pPr>
      <w:r>
        <w:rPr>
          <w:rFonts w:ascii="Times New Roman" w:hAnsi="Times New Roman"/>
          <w:szCs w:val="32"/>
        </w:rPr>
        <w:t>4. 行业改革的深化期。当前，丰都交通已完成新一轮机构改革，各项行政事权有序落实。</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”期间</w:t>
      </w:r>
      <w:r>
        <w:rPr>
          <w:rFonts w:ascii="Times New Roman" w:hAnsi="Times New Roman"/>
          <w:szCs w:val="32"/>
        </w:rPr>
        <w:t>，随着中央事权划分、职能下放，丰都交通将深入推进交通供给侧结构性改革，加快</w:t>
      </w:r>
      <w:r>
        <w:rPr>
          <w:rFonts w:hint="eastAsia" w:ascii="Times New Roman" w:hAnsi="Times New Roman"/>
          <w:szCs w:val="32"/>
        </w:rPr>
        <w:t>“</w:t>
      </w:r>
      <w:r>
        <w:rPr>
          <w:rFonts w:ascii="Times New Roman" w:hAnsi="Times New Roman"/>
          <w:szCs w:val="32"/>
        </w:rPr>
        <w:t>重建轻养</w:t>
      </w:r>
      <w:r>
        <w:rPr>
          <w:rFonts w:hint="eastAsia" w:ascii="Times New Roman" w:hAnsi="Times New Roman"/>
          <w:szCs w:val="32"/>
        </w:rPr>
        <w:t>”</w:t>
      </w:r>
      <w:r>
        <w:rPr>
          <w:rFonts w:ascii="Times New Roman" w:hAnsi="Times New Roman"/>
          <w:szCs w:val="32"/>
        </w:rPr>
        <w:t>向</w:t>
      </w:r>
      <w:r>
        <w:rPr>
          <w:rFonts w:hint="eastAsia" w:ascii="Times New Roman" w:hAnsi="Times New Roman"/>
          <w:szCs w:val="32"/>
        </w:rPr>
        <w:t>“</w:t>
      </w:r>
      <w:r>
        <w:rPr>
          <w:rFonts w:ascii="Times New Roman" w:hAnsi="Times New Roman"/>
          <w:szCs w:val="32"/>
        </w:rPr>
        <w:t>建养并重</w:t>
      </w:r>
      <w:r>
        <w:rPr>
          <w:rFonts w:hint="eastAsia" w:ascii="Times New Roman" w:hAnsi="Times New Roman"/>
          <w:szCs w:val="32"/>
        </w:rPr>
        <w:t>”</w:t>
      </w:r>
      <w:r>
        <w:rPr>
          <w:rFonts w:ascii="Times New Roman" w:hAnsi="Times New Roman"/>
          <w:szCs w:val="32"/>
        </w:rPr>
        <w:t>发展，持续强化交通运输</w:t>
      </w:r>
      <w:r>
        <w:rPr>
          <w:rFonts w:hint="eastAsia" w:ascii="Times New Roman" w:hAnsi="Times New Roman"/>
          <w:szCs w:val="32"/>
        </w:rPr>
        <w:t>“</w:t>
      </w:r>
      <w:r>
        <w:rPr>
          <w:rFonts w:ascii="Times New Roman" w:hAnsi="Times New Roman"/>
          <w:szCs w:val="32"/>
        </w:rPr>
        <w:t>建、养、运、管、安</w:t>
      </w:r>
      <w:r>
        <w:rPr>
          <w:rFonts w:hint="eastAsia" w:ascii="Times New Roman" w:hAnsi="Times New Roman"/>
          <w:szCs w:val="32"/>
        </w:rPr>
        <w:t>”</w:t>
      </w:r>
      <w:r>
        <w:rPr>
          <w:rFonts w:ascii="Times New Roman" w:hAnsi="Times New Roman"/>
          <w:szCs w:val="32"/>
        </w:rPr>
        <w:t>综合体系建设，补齐短板，均衡发力，建设便捷顺畅、经济高效、绿色集约、安全可靠的交通运输体系，实现交通高质量发展。</w:t>
      </w:r>
    </w:p>
    <w:p w14:paraId="4A414019">
      <w:pPr>
        <w:spacing w:line="600" w:lineRule="exact"/>
        <w:ind w:firstLine="640" w:firstLineChars="200"/>
        <w:rPr>
          <w:rFonts w:ascii="Times New Roman" w:hAnsi="Times New Roman"/>
          <w:szCs w:val="32"/>
        </w:rPr>
      </w:pPr>
      <w:r>
        <w:rPr>
          <w:rFonts w:ascii="Times New Roman" w:hAnsi="Times New Roman"/>
          <w:szCs w:val="32"/>
        </w:rPr>
        <w:t>5.创新模式的发展期。当前，丰都交通正全力创新</w:t>
      </w:r>
      <w:r>
        <w:rPr>
          <w:rFonts w:hint="eastAsia" w:ascii="Times New Roman" w:hAnsi="Times New Roman"/>
          <w:szCs w:val="32"/>
        </w:rPr>
        <w:t>“</w:t>
      </w:r>
      <w:r>
        <w:rPr>
          <w:rFonts w:ascii="Times New Roman" w:hAnsi="Times New Roman"/>
          <w:szCs w:val="32"/>
        </w:rPr>
        <w:t>交通+文旅、交通+产业</w:t>
      </w:r>
      <w:r>
        <w:rPr>
          <w:rFonts w:hint="eastAsia" w:ascii="Times New Roman" w:hAnsi="Times New Roman"/>
          <w:szCs w:val="32"/>
        </w:rPr>
        <w:t>”</w:t>
      </w:r>
      <w:r>
        <w:rPr>
          <w:rFonts w:ascii="Times New Roman" w:hAnsi="Times New Roman"/>
          <w:szCs w:val="32"/>
        </w:rPr>
        <w:t>等发展模式。</w:t>
      </w:r>
      <w:r>
        <w:rPr>
          <w:rFonts w:hint="eastAsia" w:ascii="Times New Roman" w:hAnsi="Times New Roman"/>
          <w:szCs w:val="32"/>
        </w:rPr>
        <w:t>“十四五”期间</w:t>
      </w:r>
      <w:r>
        <w:rPr>
          <w:rFonts w:ascii="Times New Roman" w:hAnsi="Times New Roman"/>
          <w:szCs w:val="32"/>
        </w:rPr>
        <w:t>，随着交通运输部、市交通局的科技交通、文旅交通、产业交通相关政策出台，丰都将全面推进新型基础设施建设，推动交通由依靠传统要素驱动向更加注重创新驱动转变，推动信息技术、文化旅游、产业发展与交通深度融合，通过科技创新、运输组织模式创新，促使全县交通更高质量发展。</w:t>
      </w:r>
    </w:p>
    <w:p w14:paraId="7DB2ACD7">
      <w:pPr>
        <w:pStyle w:val="2"/>
        <w:spacing w:line="600" w:lineRule="exact"/>
        <w:ind w:firstLine="640" w:firstLineChars="200"/>
        <w:rPr>
          <w:rFonts w:eastAsia="方正楷体_GBK"/>
          <w:szCs w:val="32"/>
        </w:rPr>
      </w:pPr>
      <w:r>
        <w:rPr>
          <w:rFonts w:eastAsia="方正楷体_GBK"/>
          <w:szCs w:val="32"/>
        </w:rPr>
        <w:t>（三）存在的问题和挑战</w:t>
      </w:r>
    </w:p>
    <w:p w14:paraId="4F2B202D">
      <w:pPr>
        <w:spacing w:line="600" w:lineRule="exact"/>
        <w:ind w:firstLine="640"/>
        <w:rPr>
          <w:rFonts w:ascii="Times New Roman" w:hAnsi="Times New Roman"/>
          <w:szCs w:val="32"/>
        </w:rPr>
      </w:pPr>
      <w:r>
        <w:rPr>
          <w:rFonts w:ascii="Times New Roman" w:hAnsi="Times New Roman"/>
          <w:szCs w:val="32"/>
        </w:rPr>
        <w:t>尽管</w:t>
      </w:r>
      <w:r>
        <w:rPr>
          <w:rFonts w:hint="eastAsia" w:ascii="Times New Roman" w:hAnsi="Times New Roman"/>
          <w:szCs w:val="32"/>
        </w:rPr>
        <w:t>“</w:t>
      </w:r>
      <w:r>
        <w:rPr>
          <w:rFonts w:ascii="Times New Roman" w:hAnsi="Times New Roman"/>
          <w:szCs w:val="32"/>
        </w:rPr>
        <w:t>十三五</w:t>
      </w:r>
      <w:r>
        <w:rPr>
          <w:rFonts w:hint="eastAsia" w:ascii="Times New Roman" w:hAnsi="Times New Roman"/>
          <w:szCs w:val="32"/>
        </w:rPr>
        <w:t>”</w:t>
      </w:r>
      <w:r>
        <w:rPr>
          <w:rFonts w:ascii="Times New Roman" w:hAnsi="Times New Roman"/>
          <w:szCs w:val="32"/>
        </w:rPr>
        <w:t>期间丰都交通发展成绩显著，但对照经济社会发展要求、人民对美好生活的向往等方面，交通运输发展仍然存在着一些发展差距。</w:t>
      </w:r>
    </w:p>
    <w:p w14:paraId="6A633011">
      <w:pPr>
        <w:pStyle w:val="5"/>
        <w:keepNext w:val="0"/>
        <w:keepLines w:val="0"/>
        <w:numPr>
          <w:ilvl w:val="0"/>
          <w:numId w:val="1"/>
        </w:numPr>
        <w:spacing w:line="600" w:lineRule="exact"/>
        <w:ind w:firstLine="640"/>
        <w:rPr>
          <w:rFonts w:eastAsia="方正仿宋_GBK"/>
          <w:b w:val="0"/>
          <w:bCs w:val="0"/>
        </w:rPr>
      </w:pPr>
      <w:bookmarkStart w:id="60" w:name="_Toc12168"/>
      <w:bookmarkStart w:id="61" w:name="_Toc51758634"/>
      <w:bookmarkStart w:id="62" w:name="_Toc28105"/>
      <w:r>
        <w:rPr>
          <w:rFonts w:eastAsia="方正仿宋_GBK"/>
          <w:b w:val="0"/>
          <w:bCs w:val="0"/>
        </w:rPr>
        <w:t>对外通道瓶颈尚存</w:t>
      </w:r>
      <w:bookmarkEnd w:id="60"/>
      <w:bookmarkEnd w:id="61"/>
      <w:bookmarkEnd w:id="62"/>
    </w:p>
    <w:p w14:paraId="5447DD0F">
      <w:pPr>
        <w:spacing w:line="600" w:lineRule="exact"/>
        <w:ind w:firstLine="643"/>
        <w:rPr>
          <w:rFonts w:ascii="Times New Roman" w:hAnsi="Times New Roman"/>
          <w:szCs w:val="32"/>
        </w:rPr>
      </w:pPr>
      <w:r>
        <w:rPr>
          <w:rFonts w:hint="eastAsia" w:ascii="Times New Roman" w:hAnsi="Times New Roman"/>
          <w:szCs w:val="32"/>
        </w:rPr>
        <w:t>—</w:t>
      </w:r>
      <w:r>
        <w:rPr>
          <w:rFonts w:ascii="Times New Roman" w:hAnsi="Times New Roman"/>
          <w:szCs w:val="32"/>
        </w:rPr>
        <w:t>铁路方面。丰都境内缺乏时速350公里及以上的高速铁路，既有对外铁路通道标准偏低，渝利铁路设计速度为200公里/小时，铁路公交化开行仅延伸至涪陵，缺乏高铁通道快速进入主城中心城区和长江经济带沿线城镇群。渝利铁路以客运为主，没有开行货运列车，全县无铁路货运。</w:t>
      </w:r>
    </w:p>
    <w:p w14:paraId="16359ED4">
      <w:pPr>
        <w:spacing w:line="600" w:lineRule="exact"/>
        <w:ind w:firstLine="643"/>
        <w:rPr>
          <w:rFonts w:ascii="Times New Roman" w:hAnsi="Times New Roman"/>
          <w:szCs w:val="32"/>
        </w:rPr>
      </w:pPr>
      <w:r>
        <w:rPr>
          <w:rFonts w:hint="eastAsia" w:ascii="Times New Roman" w:hAnsi="Times New Roman"/>
          <w:szCs w:val="32"/>
        </w:rPr>
        <w:t>—</w:t>
      </w:r>
      <w:r>
        <w:rPr>
          <w:rFonts w:ascii="Times New Roman" w:hAnsi="Times New Roman"/>
          <w:szCs w:val="32"/>
        </w:rPr>
        <w:t>公路方面。丰都境内高速公路仅有一条东西走向的沿江高速，位于沿江南岸，对沿江北岸的乡镇产业带动能力不足。同时，快速过江通道较少，制约江南江北联动发展。相较于周边区县忠县（3条）、涪陵（3条）等，丰都对外高速公路通道数量明显不足，周边互联互通水平较低。</w:t>
      </w:r>
    </w:p>
    <w:p w14:paraId="75D9A03B">
      <w:pPr>
        <w:spacing w:line="600" w:lineRule="exact"/>
        <w:ind w:firstLine="643"/>
        <w:rPr>
          <w:rFonts w:ascii="Times New Roman" w:hAnsi="Times New Roman"/>
          <w:szCs w:val="32"/>
        </w:rPr>
      </w:pPr>
      <w:r>
        <w:rPr>
          <w:rFonts w:hint="eastAsia" w:ascii="Times New Roman" w:hAnsi="Times New Roman"/>
          <w:szCs w:val="32"/>
        </w:rPr>
        <w:t>—</w:t>
      </w:r>
      <w:r>
        <w:rPr>
          <w:rFonts w:ascii="Times New Roman" w:hAnsi="Times New Roman"/>
          <w:szCs w:val="32"/>
        </w:rPr>
        <w:t>水运方面。港口作业区建设急需加快推进，进一步完善丰都水天坪一类口岸功能，制约丰都港口对外聚集和辐射能力。丰都游轮辅港旅游集散功能尚未形成，对沿线旅游的带动能力不足，龙河丰都段航道治理急需加大推进力度，进一步助推产业扶贫工作和旅游发展。</w:t>
      </w:r>
    </w:p>
    <w:p w14:paraId="2F80D2C6">
      <w:pPr>
        <w:spacing w:line="600" w:lineRule="exact"/>
        <w:ind w:firstLine="643"/>
        <w:rPr>
          <w:rFonts w:ascii="Times New Roman" w:hAnsi="Times New Roman"/>
          <w:szCs w:val="32"/>
        </w:rPr>
      </w:pPr>
      <w:r>
        <w:rPr>
          <w:rFonts w:hint="eastAsia" w:ascii="Times New Roman" w:hAnsi="Times New Roman"/>
          <w:szCs w:val="32"/>
        </w:rPr>
        <w:t>—</w:t>
      </w:r>
      <w:r>
        <w:rPr>
          <w:rFonts w:ascii="Times New Roman" w:hAnsi="Times New Roman"/>
          <w:szCs w:val="32"/>
        </w:rPr>
        <w:t>航空方面。丰都通用机场规划为一类通用机场，通用航空建设仍需持续推进。</w:t>
      </w:r>
    </w:p>
    <w:p w14:paraId="2B70DFB9">
      <w:pPr>
        <w:pStyle w:val="5"/>
        <w:keepNext w:val="0"/>
        <w:keepLines w:val="0"/>
        <w:numPr>
          <w:ilvl w:val="0"/>
          <w:numId w:val="1"/>
        </w:numPr>
        <w:spacing w:line="600" w:lineRule="exact"/>
        <w:ind w:firstLine="640"/>
        <w:rPr>
          <w:rFonts w:eastAsia="方正仿宋_GBK"/>
          <w:b w:val="0"/>
          <w:bCs w:val="0"/>
        </w:rPr>
      </w:pPr>
      <w:bookmarkStart w:id="63" w:name="_Toc6198"/>
      <w:bookmarkStart w:id="64" w:name="_Toc3756"/>
      <w:bookmarkStart w:id="65" w:name="_Toc51758635"/>
      <w:r>
        <w:rPr>
          <w:rFonts w:eastAsia="方正仿宋_GBK"/>
          <w:b w:val="0"/>
          <w:bCs w:val="0"/>
        </w:rPr>
        <w:t>内部网络仍需优化</w:t>
      </w:r>
      <w:bookmarkEnd w:id="63"/>
      <w:bookmarkEnd w:id="64"/>
      <w:bookmarkEnd w:id="65"/>
    </w:p>
    <w:p w14:paraId="650118E3">
      <w:pPr>
        <w:spacing w:line="600" w:lineRule="exact"/>
        <w:ind w:firstLine="643"/>
        <w:rPr>
          <w:rFonts w:ascii="Times New Roman" w:hAnsi="Times New Roman"/>
          <w:szCs w:val="32"/>
        </w:rPr>
      </w:pPr>
      <w:r>
        <w:rPr>
          <w:rFonts w:ascii="Times New Roman" w:hAnsi="Times New Roman"/>
          <w:szCs w:val="32"/>
        </w:rPr>
        <w:t>一是路网结构仍需进一步优化。丰都等级公路占比88.41%，略低于全市平均水平（89.04%），境内高等级公路较少，二级以上公路比例为5.2%，与周边的忠县、涪陵差距较大，国道二级、省道三级水平有待提升。农村公路方面，县乡道与农村公路占比失调，等外公路占比高，路网尚未形成合理的</w:t>
      </w:r>
      <w:r>
        <w:rPr>
          <w:rFonts w:hint="eastAsia" w:ascii="Times New Roman" w:hAnsi="Times New Roman"/>
          <w:szCs w:val="32"/>
        </w:rPr>
        <w:t>“</w:t>
      </w:r>
      <w:r>
        <w:rPr>
          <w:rFonts w:ascii="Times New Roman" w:hAnsi="Times New Roman"/>
          <w:szCs w:val="32"/>
        </w:rPr>
        <w:t>金字塔</w:t>
      </w:r>
      <w:r>
        <w:rPr>
          <w:rFonts w:hint="eastAsia" w:ascii="Times New Roman" w:hAnsi="Times New Roman"/>
          <w:szCs w:val="32"/>
        </w:rPr>
        <w:t>”</w:t>
      </w:r>
      <w:r>
        <w:rPr>
          <w:rFonts w:ascii="Times New Roman" w:hAnsi="Times New Roman"/>
          <w:szCs w:val="32"/>
        </w:rPr>
        <w:t>路网等级结构。农村公路村道占比大</w:t>
      </w:r>
      <w:r>
        <w:rPr>
          <w:rFonts w:hint="eastAsia" w:ascii="Times New Roman" w:hAnsi="Times New Roman"/>
          <w:szCs w:val="32"/>
          <w:lang w:eastAsia="zh-CN"/>
        </w:rPr>
        <w:t>等</w:t>
      </w:r>
      <w:r>
        <w:rPr>
          <w:rFonts w:ascii="Times New Roman" w:hAnsi="Times New Roman"/>
          <w:szCs w:val="32"/>
        </w:rPr>
        <w:t>外级</w:t>
      </w:r>
      <w:r>
        <w:rPr>
          <w:rFonts w:hint="eastAsia" w:ascii="Times New Roman" w:hAnsi="Times New Roman"/>
          <w:szCs w:val="32"/>
        </w:rPr>
        <w:t>公路</w:t>
      </w:r>
      <w:r>
        <w:rPr>
          <w:rFonts w:ascii="Times New Roman" w:hAnsi="Times New Roman"/>
          <w:szCs w:val="32"/>
        </w:rPr>
        <w:t>占比大，农村公路总体技术指标偏低，后期升级改造工程量和难度大等一系列状况</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”期间</w:t>
      </w:r>
      <w:r>
        <w:rPr>
          <w:rFonts w:ascii="Times New Roman" w:hAnsi="Times New Roman"/>
          <w:szCs w:val="32"/>
        </w:rPr>
        <w:t>仍将存在。</w:t>
      </w:r>
    </w:p>
    <w:p w14:paraId="0431E5D8">
      <w:pPr>
        <w:spacing w:line="600" w:lineRule="exact"/>
        <w:ind w:firstLine="643"/>
        <w:rPr>
          <w:rFonts w:ascii="Times New Roman" w:hAnsi="Times New Roman"/>
          <w:szCs w:val="32"/>
        </w:rPr>
      </w:pPr>
      <w:r>
        <w:rPr>
          <w:rFonts w:ascii="Times New Roman" w:hAnsi="Times New Roman"/>
          <w:szCs w:val="32"/>
        </w:rPr>
        <w:t>二是路网功能对经济产业支撑有待提高。文化旅游方面，丰都现大部分重要景区，包括丰都鬼城、丰都名山、丰都雪玉洞、丰都九重天、丰都南天湖五处4A级景区和若干重点景区，都还未能实现区域内景区10公里连接高速公路的目标。产业园区方面，铁公水联运能力和驳接运输水平、交通物流产业发展规模还不够高，存在较大的发展空间与开发潜力。</w:t>
      </w:r>
    </w:p>
    <w:p w14:paraId="1BE4E35B">
      <w:pPr>
        <w:pStyle w:val="5"/>
        <w:keepNext w:val="0"/>
        <w:keepLines w:val="0"/>
        <w:spacing w:line="600" w:lineRule="exact"/>
        <w:ind w:firstLine="640"/>
        <w:rPr>
          <w:rFonts w:eastAsia="方正仿宋_GBK"/>
          <w:b w:val="0"/>
          <w:bCs w:val="0"/>
        </w:rPr>
      </w:pPr>
      <w:bookmarkStart w:id="66" w:name="_Toc10292"/>
      <w:bookmarkStart w:id="67" w:name="_Toc6281"/>
      <w:bookmarkStart w:id="68" w:name="_Toc51758636"/>
      <w:r>
        <w:rPr>
          <w:rFonts w:eastAsia="方正仿宋_GBK"/>
          <w:b w:val="0"/>
          <w:bCs w:val="0"/>
        </w:rPr>
        <w:t>3. 枢纽衔接有待完善</w:t>
      </w:r>
      <w:bookmarkEnd w:id="66"/>
      <w:bookmarkEnd w:id="67"/>
      <w:bookmarkEnd w:id="68"/>
    </w:p>
    <w:p w14:paraId="373B47F1">
      <w:pPr>
        <w:spacing w:line="600" w:lineRule="exact"/>
        <w:ind w:firstLine="627" w:firstLineChars="196"/>
        <w:rPr>
          <w:rFonts w:ascii="Times New Roman" w:hAnsi="Times New Roman"/>
          <w:szCs w:val="32"/>
        </w:rPr>
      </w:pPr>
      <w:r>
        <w:rPr>
          <w:rFonts w:ascii="Times New Roman" w:hAnsi="Times New Roman"/>
          <w:szCs w:val="32"/>
        </w:rPr>
        <w:t>一是缺乏综合性、一体化客运枢纽。丰都无一级客运站，与渝利铁路火车站配套的综合客运枢纽内的各交通方式换乘效率有待提升，承接省际、县际及县内乡镇旅客运输，班线客运与城市公交、出租车的服务能力不足，难以支撑丰都打造三峡库区客运服务基地的发展目标。</w:t>
      </w:r>
    </w:p>
    <w:p w14:paraId="51258270">
      <w:pPr>
        <w:spacing w:line="600" w:lineRule="exact"/>
        <w:ind w:firstLine="627" w:firstLineChars="196"/>
        <w:rPr>
          <w:rFonts w:ascii="Times New Roman" w:hAnsi="Times New Roman"/>
          <w:szCs w:val="32"/>
        </w:rPr>
      </w:pPr>
      <w:r>
        <w:rPr>
          <w:rFonts w:ascii="Times New Roman" w:hAnsi="Times New Roman"/>
          <w:szCs w:val="32"/>
        </w:rPr>
        <w:t>二是货运枢纽和集疏运体系仍需完善。目前丰都依托港口码头发展货运枢纽，港口建设有待加快推进，港口口岸、保税、交易、仓储等物流全产业链功能有待进一步完善，港口对后方园区带动能力不足，</w:t>
      </w:r>
      <w:r>
        <w:rPr>
          <w:rFonts w:hint="eastAsia" w:ascii="Times New Roman" w:hAnsi="Times New Roman"/>
          <w:szCs w:val="32"/>
        </w:rPr>
        <w:t>“</w:t>
      </w:r>
      <w:r>
        <w:rPr>
          <w:rFonts w:ascii="Times New Roman" w:hAnsi="Times New Roman"/>
          <w:szCs w:val="32"/>
        </w:rPr>
        <w:t>前港后园</w:t>
      </w:r>
      <w:r>
        <w:rPr>
          <w:rFonts w:hint="eastAsia" w:ascii="Times New Roman" w:hAnsi="Times New Roman"/>
          <w:szCs w:val="32"/>
        </w:rPr>
        <w:t>”</w:t>
      </w:r>
      <w:r>
        <w:rPr>
          <w:rFonts w:ascii="Times New Roman" w:hAnsi="Times New Roman"/>
          <w:szCs w:val="32"/>
        </w:rPr>
        <w:t>尚未完全形成。港口、园区集疏运水平不高，</w:t>
      </w:r>
      <w:r>
        <w:rPr>
          <w:rFonts w:hint="eastAsia" w:ascii="Times New Roman" w:hAnsi="Times New Roman"/>
          <w:szCs w:val="32"/>
        </w:rPr>
        <w:t>“</w:t>
      </w:r>
      <w:r>
        <w:rPr>
          <w:rFonts w:ascii="Times New Roman" w:hAnsi="Times New Roman"/>
          <w:szCs w:val="32"/>
        </w:rPr>
        <w:t>最后一公里</w:t>
      </w:r>
      <w:r>
        <w:rPr>
          <w:rFonts w:hint="eastAsia" w:ascii="Times New Roman" w:hAnsi="Times New Roman"/>
          <w:szCs w:val="32"/>
        </w:rPr>
        <w:t>”</w:t>
      </w:r>
      <w:r>
        <w:rPr>
          <w:rFonts w:ascii="Times New Roman" w:hAnsi="Times New Roman"/>
          <w:szCs w:val="32"/>
        </w:rPr>
        <w:t>问题较为突出，缺乏铁路、快速通道进出港口、园区，制约丰都铁公水多式联运一体化发展。</w:t>
      </w:r>
    </w:p>
    <w:p w14:paraId="4F2DBD3E">
      <w:pPr>
        <w:pStyle w:val="5"/>
        <w:keepNext w:val="0"/>
        <w:keepLines w:val="0"/>
        <w:spacing w:line="600" w:lineRule="exact"/>
        <w:ind w:firstLine="640"/>
        <w:rPr>
          <w:rFonts w:eastAsia="方正仿宋_GBK"/>
          <w:b w:val="0"/>
          <w:bCs w:val="0"/>
        </w:rPr>
      </w:pPr>
      <w:bookmarkStart w:id="69" w:name="_Toc51758637"/>
      <w:bookmarkStart w:id="70" w:name="_Toc23193"/>
      <w:bookmarkStart w:id="71" w:name="_Toc14857"/>
      <w:r>
        <w:rPr>
          <w:rFonts w:eastAsia="方正仿宋_GBK"/>
          <w:b w:val="0"/>
          <w:bCs w:val="0"/>
        </w:rPr>
        <w:t>4. 运输服务</w:t>
      </w:r>
      <w:r>
        <w:rPr>
          <w:rFonts w:hint="eastAsia" w:eastAsia="方正仿宋_GBK"/>
          <w:b w:val="0"/>
          <w:bCs w:val="0"/>
        </w:rPr>
        <w:t>急需</w:t>
      </w:r>
      <w:r>
        <w:rPr>
          <w:rFonts w:eastAsia="方正仿宋_GBK"/>
          <w:b w:val="0"/>
          <w:bCs w:val="0"/>
        </w:rPr>
        <w:t>转型</w:t>
      </w:r>
      <w:bookmarkEnd w:id="69"/>
      <w:bookmarkEnd w:id="70"/>
      <w:bookmarkEnd w:id="71"/>
    </w:p>
    <w:p w14:paraId="7EC788C0">
      <w:pPr>
        <w:spacing w:line="600" w:lineRule="exact"/>
        <w:ind w:firstLine="627" w:firstLineChars="196"/>
        <w:rPr>
          <w:rFonts w:ascii="Times New Roman" w:hAnsi="Times New Roman"/>
          <w:szCs w:val="32"/>
        </w:rPr>
      </w:pPr>
      <w:r>
        <w:rPr>
          <w:rFonts w:ascii="Times New Roman" w:hAnsi="Times New Roman"/>
          <w:szCs w:val="32"/>
        </w:rPr>
        <w:t>一是旅客运输服务品质有待提高。城市公共交通基础配套设施较为滞后。当前全县缺乏公交枢纽站、调度中心、公交专用停车场，公交线路占用公交港湾站始发车辆，公交基础设施建设推进缓慢，公交站牌信息设施损坏更新难度大。道路中长线客运逐渐萎缩，客运转型升级压力大，面临较大的转型压力。包车客运、机场快线、城际快客等新业态产品规模还不够大。</w:t>
      </w:r>
    </w:p>
    <w:p w14:paraId="3AF04C4B">
      <w:pPr>
        <w:spacing w:line="600" w:lineRule="exact"/>
        <w:ind w:firstLine="627" w:firstLineChars="196"/>
        <w:rPr>
          <w:rFonts w:ascii="Times New Roman" w:hAnsi="Times New Roman"/>
          <w:szCs w:val="32"/>
        </w:rPr>
      </w:pPr>
      <w:r>
        <w:rPr>
          <w:rFonts w:ascii="Times New Roman" w:hAnsi="Times New Roman"/>
          <w:szCs w:val="32"/>
        </w:rPr>
        <w:t>二是货运物流结构有待完善。中小型企业较多，缺少主导行业发展的大型实体企业。运输生产组织化程度低，管理手段落后，实载率低。先进的运输方式未得到足够的重视和运用，运力结构调整滞后，高效低耗重型货车、</w:t>
      </w:r>
      <w:r>
        <w:rPr>
          <w:rFonts w:hint="eastAsia" w:ascii="Times New Roman" w:hAnsi="Times New Roman"/>
          <w:szCs w:val="32"/>
          <w:lang w:eastAsia="zh-CN"/>
        </w:rPr>
        <w:t>厢式货车</w:t>
      </w:r>
      <w:r>
        <w:rPr>
          <w:rFonts w:ascii="Times New Roman" w:hAnsi="Times New Roman"/>
          <w:szCs w:val="32"/>
        </w:rPr>
        <w:t>、集装箱货车、拖挂车和特种专用车比重较低，从业人员整体素质结构低。全县铁路无货运，水运货运量占比偏低。</w:t>
      </w:r>
    </w:p>
    <w:p w14:paraId="7BA7FAD9">
      <w:pPr>
        <w:spacing w:line="600" w:lineRule="exact"/>
        <w:ind w:firstLine="627" w:firstLineChars="196"/>
        <w:rPr>
          <w:rFonts w:ascii="Times New Roman" w:hAnsi="Times New Roman"/>
          <w:szCs w:val="32"/>
        </w:rPr>
      </w:pPr>
      <w:r>
        <w:rPr>
          <w:rFonts w:ascii="Times New Roman" w:hAnsi="Times New Roman"/>
          <w:szCs w:val="32"/>
        </w:rPr>
        <w:t>三是运输保障能力有待加强。智能交通基础设施覆盖面不够、集约度不高，公路网路况检测等交通感知设备有待进一步升级。交通数据资源尚未进一步整合，高速公路路网、治超站联网管理、智慧公路综合管养、出租车、客车等管理与应用信息系统数据整合共享开发利用不足。绿色交通转型形势严峻。交通安全监测与保障能力不足，尚未实现全区高速公路特大桥梁、隧道、边坡的应急实时监测，水上应急救援基地尚未建成，水上应急装备、应救援队伍、应急救援能力有待进一步提升。</w:t>
      </w:r>
    </w:p>
    <w:p w14:paraId="66C82309">
      <w:pPr>
        <w:pStyle w:val="5"/>
        <w:keepNext w:val="0"/>
        <w:keepLines w:val="0"/>
        <w:spacing w:line="600" w:lineRule="exact"/>
        <w:ind w:firstLine="640"/>
        <w:rPr>
          <w:rFonts w:eastAsia="方正仿宋_GBK"/>
          <w:b w:val="0"/>
          <w:bCs w:val="0"/>
        </w:rPr>
      </w:pPr>
      <w:bookmarkStart w:id="72" w:name="_Toc11202"/>
      <w:bookmarkStart w:id="73" w:name="_Toc51758638"/>
      <w:bookmarkStart w:id="74" w:name="_Toc14709"/>
      <w:r>
        <w:rPr>
          <w:rFonts w:eastAsia="方正仿宋_GBK"/>
          <w:b w:val="0"/>
          <w:bCs w:val="0"/>
        </w:rPr>
        <w:t>5. 宏观环境压力犹在</w:t>
      </w:r>
      <w:bookmarkEnd w:id="72"/>
      <w:bookmarkEnd w:id="73"/>
      <w:bookmarkEnd w:id="74"/>
    </w:p>
    <w:p w14:paraId="2E591631">
      <w:pPr>
        <w:pStyle w:val="16"/>
        <w:spacing w:line="600" w:lineRule="exact"/>
        <w:ind w:left="0" w:leftChars="0" w:right="0" w:rightChars="0" w:firstLine="640" w:firstLineChars="200"/>
        <w:rPr>
          <w:rFonts w:eastAsia="方正仿宋_GBK"/>
          <w:szCs w:val="32"/>
        </w:rPr>
      </w:pPr>
      <w:r>
        <w:rPr>
          <w:rFonts w:eastAsia="方正仿宋_GBK"/>
          <w:szCs w:val="32"/>
        </w:rPr>
        <w:t>一是交通建设项目资金来源紧张，渠道单一。为提高经济发展质量，国务院出台了一系列减税降费措施以刺激内需，拉动消费，以期更快形成以国内大循环为主体、国内国际双循环相互促进的新发展格局。同时为促进新能源车产业发展，出台了新能源车免收增值税的优惠政策，车购税资金来源逐渐紧张。</w:t>
      </w:r>
    </w:p>
    <w:p w14:paraId="410F3CFB">
      <w:pPr>
        <w:pStyle w:val="16"/>
        <w:spacing w:line="600" w:lineRule="exact"/>
        <w:ind w:left="0" w:leftChars="0" w:right="0" w:rightChars="0" w:firstLine="640" w:firstLineChars="200"/>
        <w:rPr>
          <w:rFonts w:eastAsia="方正仿宋_GBK"/>
          <w:szCs w:val="32"/>
        </w:rPr>
      </w:pPr>
      <w:r>
        <w:rPr>
          <w:rFonts w:eastAsia="方正仿宋_GBK"/>
          <w:szCs w:val="32"/>
        </w:rPr>
        <w:t>二是交通建设项目投资效益低，社会融资难。现在部分高速公路为地方建设项目，缺少中央资金补助，因高速公路项目投资效益难以平衡，招商吸引力弱，社会融资渠道较少，缺少创新性融资渠道。</w:t>
      </w:r>
    </w:p>
    <w:p w14:paraId="13C0D21C">
      <w:pPr>
        <w:pStyle w:val="16"/>
        <w:spacing w:line="600" w:lineRule="exact"/>
        <w:ind w:left="0" w:leftChars="0" w:right="0" w:rightChars="0" w:firstLine="640" w:firstLineChars="200"/>
        <w:rPr>
          <w:rFonts w:eastAsia="方正仿宋_GBK"/>
          <w:szCs w:val="32"/>
        </w:rPr>
      </w:pPr>
      <w:r>
        <w:rPr>
          <w:rFonts w:eastAsia="方正仿宋_GBK"/>
          <w:szCs w:val="32"/>
        </w:rPr>
        <w:t>三是环保趋严导致原材料上涨，成本上升。随着国内环保督察力度加大，重庆市两江四岸整治工程的实施，市内沙石、水泥等原材料供给不足，价格周期波动上浮趋势明显。</w:t>
      </w:r>
    </w:p>
    <w:p w14:paraId="429DDA17">
      <w:pPr>
        <w:pStyle w:val="16"/>
        <w:spacing w:line="600" w:lineRule="exact"/>
        <w:ind w:left="0" w:leftChars="0" w:right="0" w:rightChars="0" w:firstLine="640" w:firstLineChars="200"/>
        <w:rPr>
          <w:rFonts w:eastAsia="方正仿宋_GBK"/>
          <w:szCs w:val="32"/>
        </w:rPr>
      </w:pPr>
      <w:r>
        <w:rPr>
          <w:rFonts w:eastAsia="方正仿宋_GBK"/>
          <w:szCs w:val="32"/>
        </w:rPr>
        <w:t>四是交通脱贫攻坚任务艰巨，压力较大。为打赢脱贫攻坚战，</w:t>
      </w:r>
      <w:r>
        <w:rPr>
          <w:rFonts w:hint="eastAsia" w:eastAsia="方正仿宋_GBK"/>
          <w:szCs w:val="32"/>
          <w:lang w:eastAsia="zh-CN"/>
        </w:rPr>
        <w:t>巩固拓展脱贫攻坚成果</w:t>
      </w:r>
      <w:r>
        <w:rPr>
          <w:rFonts w:eastAsia="方正仿宋_GBK"/>
          <w:szCs w:val="32"/>
        </w:rPr>
        <w:t>，仍需贡献交通力量。</w:t>
      </w:r>
      <w:r>
        <w:rPr>
          <w:rFonts w:hint="eastAsia" w:eastAsia="方正仿宋_GBK"/>
          <w:szCs w:val="32"/>
        </w:rPr>
        <w:t>“</w:t>
      </w:r>
      <w:r>
        <w:rPr>
          <w:rFonts w:eastAsia="方正仿宋_GBK"/>
          <w:szCs w:val="32"/>
        </w:rPr>
        <w:t>四好农村路</w:t>
      </w:r>
      <w:r>
        <w:rPr>
          <w:rFonts w:hint="eastAsia" w:eastAsia="方正仿宋_GBK"/>
          <w:szCs w:val="32"/>
        </w:rPr>
        <w:t>”</w:t>
      </w:r>
      <w:r>
        <w:rPr>
          <w:rFonts w:eastAsia="方正仿宋_GBK"/>
          <w:szCs w:val="32"/>
        </w:rPr>
        <w:t>等脱贫攻坚项目仍有一定资金缺口，尚未匹配到足额配套资金，巩固脱贫攻坚仍需加大投入。</w:t>
      </w:r>
    </w:p>
    <w:p w14:paraId="35C5AC69">
      <w:pPr>
        <w:pStyle w:val="2"/>
        <w:spacing w:line="600" w:lineRule="exact"/>
        <w:rPr>
          <w:rFonts w:eastAsia="方正仿宋_GBK"/>
          <w:szCs w:val="32"/>
        </w:rPr>
      </w:pPr>
      <w:r>
        <w:rPr>
          <w:rFonts w:eastAsia="方正仿宋_GBK"/>
          <w:szCs w:val="32"/>
        </w:rPr>
        <w:t>五是限制条件较多，推进较难。交通项目受到环境、土地制约，项目审批流程繁琐，前置要件多，手续长。</w:t>
      </w:r>
    </w:p>
    <w:p w14:paraId="36A94AA7">
      <w:pPr>
        <w:pStyle w:val="2"/>
        <w:spacing w:line="600" w:lineRule="exact"/>
        <w:rPr>
          <w:rFonts w:eastAsia="方正仿宋_GBK"/>
          <w:szCs w:val="32"/>
        </w:rPr>
      </w:pPr>
    </w:p>
    <w:p w14:paraId="411C7E36">
      <w:pPr>
        <w:pStyle w:val="3"/>
        <w:spacing w:beforeLines="0" w:line="600" w:lineRule="exact"/>
        <w:rPr>
          <w:rFonts w:ascii="Times New Roman" w:hAnsi="Times New Roman" w:cs="Times New Roman"/>
          <w:b w:val="0"/>
          <w:bCs w:val="0"/>
          <w:sz w:val="36"/>
          <w:szCs w:val="36"/>
        </w:rPr>
      </w:pPr>
      <w:bookmarkStart w:id="75" w:name="_Toc27611"/>
      <w:r>
        <w:rPr>
          <w:rFonts w:ascii="Times New Roman" w:hAnsi="Times New Roman" w:cs="Times New Roman"/>
          <w:b w:val="0"/>
          <w:bCs w:val="0"/>
          <w:sz w:val="36"/>
          <w:szCs w:val="36"/>
        </w:rPr>
        <w:t>第二章  中长期布局规划</w:t>
      </w:r>
      <w:bookmarkEnd w:id="75"/>
    </w:p>
    <w:p w14:paraId="333BEE88">
      <w:pPr>
        <w:pStyle w:val="3"/>
        <w:spacing w:beforeLines="0" w:line="600" w:lineRule="exact"/>
        <w:rPr>
          <w:rFonts w:ascii="Times New Roman" w:hAnsi="Times New Roman" w:cs="Times New Roman"/>
          <w:b w:val="0"/>
          <w:bCs w:val="0"/>
          <w:sz w:val="36"/>
          <w:szCs w:val="36"/>
        </w:rPr>
      </w:pPr>
    </w:p>
    <w:p w14:paraId="492E58BB">
      <w:pPr>
        <w:pStyle w:val="4"/>
        <w:keepNext w:val="0"/>
        <w:keepLines w:val="0"/>
        <w:widowControl w:val="0"/>
        <w:spacing w:beforeLines="0" w:afterLines="0"/>
        <w:ind w:firstLine="640"/>
        <w:rPr>
          <w:rFonts w:eastAsia="方正黑体_GBK"/>
          <w:b w:val="0"/>
          <w:bCs w:val="0"/>
        </w:rPr>
      </w:pPr>
      <w:bookmarkStart w:id="76" w:name="_Toc27993"/>
      <w:r>
        <w:rPr>
          <w:rFonts w:eastAsia="方正黑体_GBK"/>
          <w:b w:val="0"/>
          <w:bCs w:val="0"/>
          <w:kern w:val="28"/>
        </w:rPr>
        <w:t>一、发展定位</w:t>
      </w:r>
      <w:bookmarkEnd w:id="76"/>
    </w:p>
    <w:p w14:paraId="35FE9E2C">
      <w:pPr>
        <w:spacing w:line="600" w:lineRule="exact"/>
        <w:ind w:firstLine="640"/>
        <w:rPr>
          <w:rFonts w:ascii="Times New Roman" w:hAnsi="Times New Roman"/>
          <w:szCs w:val="32"/>
        </w:rPr>
      </w:pPr>
      <w:r>
        <w:rPr>
          <w:rFonts w:ascii="Times New Roman" w:hAnsi="Times New Roman"/>
          <w:szCs w:val="32"/>
        </w:rPr>
        <w:t>聚焦实施乡村振兴战略，抢抓新时代西部大开发、</w:t>
      </w:r>
      <w:r>
        <w:rPr>
          <w:rFonts w:hint="eastAsia" w:ascii="Times New Roman" w:hAnsi="Times New Roman"/>
          <w:szCs w:val="32"/>
          <w:lang w:eastAsia="zh-CN"/>
        </w:rPr>
        <w:t>“一带一路”</w:t>
      </w:r>
      <w:r>
        <w:rPr>
          <w:rFonts w:ascii="Times New Roman" w:hAnsi="Times New Roman"/>
          <w:szCs w:val="32"/>
        </w:rPr>
        <w:t>、长江经济带、交通强国试点、成渝地区双城经济圈等中央层面战略机遇，践行</w:t>
      </w:r>
      <w:r>
        <w:rPr>
          <w:rFonts w:hint="eastAsia" w:ascii="Times New Roman" w:hAnsi="Times New Roman"/>
          <w:szCs w:val="32"/>
        </w:rPr>
        <w:t>“</w:t>
      </w:r>
      <w:r>
        <w:rPr>
          <w:rFonts w:ascii="Times New Roman" w:hAnsi="Times New Roman"/>
          <w:szCs w:val="32"/>
        </w:rPr>
        <w:t>两山论</w:t>
      </w:r>
      <w:r>
        <w:rPr>
          <w:rFonts w:hint="eastAsia" w:ascii="Times New Roman" w:hAnsi="Times New Roman"/>
          <w:szCs w:val="32"/>
        </w:rPr>
        <w:t>”</w:t>
      </w:r>
      <w:r>
        <w:rPr>
          <w:rFonts w:ascii="Times New Roman" w:hAnsi="Times New Roman"/>
          <w:szCs w:val="32"/>
        </w:rPr>
        <w:t>，走实</w:t>
      </w:r>
      <w:r>
        <w:rPr>
          <w:rFonts w:hint="eastAsia" w:ascii="Times New Roman" w:hAnsi="Times New Roman"/>
          <w:szCs w:val="32"/>
        </w:rPr>
        <w:t>“</w:t>
      </w:r>
      <w:r>
        <w:rPr>
          <w:rFonts w:ascii="Times New Roman" w:hAnsi="Times New Roman"/>
          <w:szCs w:val="32"/>
        </w:rPr>
        <w:t>两化论</w:t>
      </w:r>
      <w:r>
        <w:rPr>
          <w:rFonts w:hint="eastAsia" w:ascii="Times New Roman" w:hAnsi="Times New Roman"/>
          <w:szCs w:val="32"/>
        </w:rPr>
        <w:t>”</w:t>
      </w:r>
      <w:r>
        <w:rPr>
          <w:rFonts w:ascii="Times New Roman" w:hAnsi="Times New Roman"/>
          <w:szCs w:val="32"/>
        </w:rPr>
        <w:t>，筑牢长江上游重要生态屏障，建设生态优先、绿色发展的新</w:t>
      </w:r>
      <w:r>
        <w:rPr>
          <w:rFonts w:hint="eastAsia" w:ascii="Times New Roman" w:hAnsi="Times New Roman"/>
          <w:szCs w:val="32"/>
        </w:rPr>
        <w:t>增长极</w:t>
      </w:r>
      <w:r>
        <w:rPr>
          <w:rFonts w:ascii="Times New Roman" w:hAnsi="Times New Roman"/>
          <w:szCs w:val="32"/>
        </w:rPr>
        <w:t>，打好</w:t>
      </w:r>
      <w:r>
        <w:rPr>
          <w:rFonts w:hint="eastAsia" w:ascii="Times New Roman" w:hAnsi="Times New Roman"/>
          <w:szCs w:val="32"/>
        </w:rPr>
        <w:t>“</w:t>
      </w:r>
      <w:r>
        <w:rPr>
          <w:rFonts w:ascii="Times New Roman" w:hAnsi="Times New Roman"/>
          <w:szCs w:val="32"/>
        </w:rPr>
        <w:t>三峡牌</w:t>
      </w:r>
      <w:r>
        <w:rPr>
          <w:rFonts w:hint="eastAsia" w:ascii="Times New Roman" w:hAnsi="Times New Roman"/>
          <w:szCs w:val="32"/>
        </w:rPr>
        <w:t>”</w:t>
      </w:r>
      <w:r>
        <w:rPr>
          <w:rFonts w:ascii="Times New Roman" w:hAnsi="Times New Roman"/>
          <w:szCs w:val="32"/>
        </w:rPr>
        <w:t>，建好</w:t>
      </w:r>
      <w:r>
        <w:rPr>
          <w:rFonts w:hint="eastAsia" w:ascii="Times New Roman" w:hAnsi="Times New Roman"/>
          <w:szCs w:val="32"/>
        </w:rPr>
        <w:t>“</w:t>
      </w:r>
      <w:r>
        <w:rPr>
          <w:rFonts w:ascii="Times New Roman" w:hAnsi="Times New Roman"/>
          <w:szCs w:val="32"/>
        </w:rPr>
        <w:t>城镇群</w:t>
      </w:r>
      <w:r>
        <w:rPr>
          <w:rFonts w:hint="eastAsia" w:ascii="Times New Roman" w:hAnsi="Times New Roman"/>
          <w:szCs w:val="32"/>
        </w:rPr>
        <w:t>”</w:t>
      </w:r>
      <w:r>
        <w:rPr>
          <w:rFonts w:ascii="Times New Roman" w:hAnsi="Times New Roman"/>
          <w:szCs w:val="32"/>
        </w:rPr>
        <w:t>。</w:t>
      </w:r>
    </w:p>
    <w:p w14:paraId="0EB7C1DF">
      <w:pPr>
        <w:spacing w:line="600" w:lineRule="exact"/>
        <w:ind w:firstLine="640"/>
        <w:rPr>
          <w:rFonts w:ascii="Times New Roman" w:hAnsi="Times New Roman"/>
          <w:szCs w:val="32"/>
        </w:rPr>
      </w:pPr>
      <w:r>
        <w:rPr>
          <w:rFonts w:ascii="Times New Roman" w:hAnsi="Times New Roman"/>
          <w:szCs w:val="32"/>
        </w:rPr>
        <w:t>聚焦三峡新区、构建国际性综合交通枢纽、打造长江上游航运中心等市级层面战略部署，充分发挥丰都地处成渝地区双城经济圈中北半圈的重要组成部分、地处川渝由西向东开放的最前沿、沿江峡谷自然地理格局、</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重要节点和沿江通道等区位优势，围绕打造绿色工业、特色农牧产业基地、长江三峡国际黄金旅游带节点和休闲度假康养基地等市级层面发展定位，唱好</w:t>
      </w:r>
      <w:r>
        <w:rPr>
          <w:rFonts w:hint="eastAsia" w:ascii="Times New Roman" w:hAnsi="Times New Roman"/>
          <w:szCs w:val="32"/>
        </w:rPr>
        <w:t>“</w:t>
      </w:r>
      <w:r>
        <w:rPr>
          <w:rFonts w:ascii="Times New Roman" w:hAnsi="Times New Roman"/>
          <w:szCs w:val="32"/>
        </w:rPr>
        <w:t>双城记</w:t>
      </w:r>
      <w:r>
        <w:rPr>
          <w:rFonts w:hint="eastAsia" w:ascii="Times New Roman" w:hAnsi="Times New Roman"/>
          <w:szCs w:val="32"/>
        </w:rPr>
        <w:t>”</w:t>
      </w:r>
      <w:r>
        <w:rPr>
          <w:rFonts w:ascii="Times New Roman" w:hAnsi="Times New Roman"/>
          <w:szCs w:val="32"/>
        </w:rPr>
        <w:t>，建好</w:t>
      </w:r>
      <w:r>
        <w:rPr>
          <w:rFonts w:hint="eastAsia" w:ascii="Times New Roman" w:hAnsi="Times New Roman"/>
          <w:szCs w:val="32"/>
        </w:rPr>
        <w:t>“</w:t>
      </w:r>
      <w:r>
        <w:rPr>
          <w:rFonts w:ascii="Times New Roman" w:hAnsi="Times New Roman"/>
          <w:szCs w:val="32"/>
        </w:rPr>
        <w:t>经济圈</w:t>
      </w:r>
      <w:r>
        <w:rPr>
          <w:rFonts w:hint="eastAsia" w:ascii="Times New Roman" w:hAnsi="Times New Roman"/>
          <w:szCs w:val="32"/>
        </w:rPr>
        <w:t>”</w:t>
      </w:r>
      <w:r>
        <w:rPr>
          <w:rFonts w:ascii="Times New Roman" w:hAnsi="Times New Roman"/>
          <w:szCs w:val="32"/>
        </w:rPr>
        <w:t>。</w:t>
      </w:r>
    </w:p>
    <w:p w14:paraId="557C6D28">
      <w:pPr>
        <w:spacing w:line="600" w:lineRule="exact"/>
        <w:ind w:firstLine="640" w:firstLineChars="200"/>
        <w:rPr>
          <w:rFonts w:ascii="Times New Roman" w:hAnsi="Times New Roman"/>
          <w:szCs w:val="32"/>
        </w:rPr>
      </w:pPr>
      <w:r>
        <w:rPr>
          <w:rFonts w:ascii="Times New Roman" w:hAnsi="Times New Roman"/>
          <w:szCs w:val="32"/>
        </w:rPr>
        <w:t>发挥</w:t>
      </w:r>
      <w:r>
        <w:rPr>
          <w:rFonts w:hint="eastAsia" w:ascii="Times New Roman" w:hAnsi="Times New Roman"/>
          <w:szCs w:val="32"/>
        </w:rPr>
        <w:t>“</w:t>
      </w:r>
      <w:r>
        <w:rPr>
          <w:rFonts w:ascii="Times New Roman" w:hAnsi="Times New Roman"/>
          <w:szCs w:val="32"/>
        </w:rPr>
        <w:t>山水丰茂、物产丰盛、人文丰厚</w:t>
      </w:r>
      <w:r>
        <w:rPr>
          <w:rFonts w:hint="eastAsia" w:ascii="Times New Roman" w:hAnsi="Times New Roman"/>
          <w:szCs w:val="32"/>
        </w:rPr>
        <w:t>”</w:t>
      </w:r>
      <w:r>
        <w:rPr>
          <w:rFonts w:ascii="Times New Roman" w:hAnsi="Times New Roman"/>
          <w:szCs w:val="32"/>
        </w:rPr>
        <w:t>优势，</w:t>
      </w:r>
      <w:r>
        <w:rPr>
          <w:rFonts w:ascii="Times New Roman" w:hAnsi="Times New Roman"/>
          <w:szCs w:val="32"/>
          <w:lang w:bidi="he-IL"/>
        </w:rPr>
        <w:t>紧扣沿长江产城景融合发展区、南部高山旅游度假区、北部现代农业示范区</w:t>
      </w:r>
      <w:r>
        <w:rPr>
          <w:rFonts w:hint="eastAsia" w:ascii="Times New Roman" w:hAnsi="Times New Roman"/>
          <w:szCs w:val="32"/>
          <w:lang w:bidi="he-IL"/>
        </w:rPr>
        <w:t>“</w:t>
      </w:r>
      <w:r>
        <w:rPr>
          <w:rFonts w:ascii="Times New Roman" w:hAnsi="Times New Roman"/>
          <w:szCs w:val="32"/>
          <w:lang w:bidi="he-IL"/>
        </w:rPr>
        <w:t>三区</w:t>
      </w:r>
      <w:r>
        <w:rPr>
          <w:rFonts w:hint="eastAsia" w:ascii="Times New Roman" w:hAnsi="Times New Roman"/>
          <w:szCs w:val="32"/>
          <w:lang w:bidi="he-IL"/>
        </w:rPr>
        <w:t>”</w:t>
      </w:r>
      <w:r>
        <w:rPr>
          <w:rFonts w:ascii="Times New Roman" w:hAnsi="Times New Roman"/>
          <w:szCs w:val="32"/>
          <w:lang w:bidi="he-IL"/>
        </w:rPr>
        <w:t>布局</w:t>
      </w:r>
      <w:r>
        <w:rPr>
          <w:rFonts w:hint="eastAsia" w:ascii="Times New Roman" w:hAnsi="Times New Roman"/>
          <w:szCs w:val="32"/>
          <w:lang w:bidi="he-IL"/>
        </w:rPr>
        <w:t>，</w:t>
      </w:r>
      <w:r>
        <w:rPr>
          <w:rFonts w:ascii="Times New Roman" w:hAnsi="Times New Roman"/>
          <w:szCs w:val="32"/>
        </w:rPr>
        <w:t>坚定不移走</w:t>
      </w:r>
      <w:r>
        <w:rPr>
          <w:rFonts w:hint="eastAsia" w:ascii="Times New Roman" w:hAnsi="Times New Roman"/>
          <w:szCs w:val="32"/>
        </w:rPr>
        <w:t>“</w:t>
      </w:r>
      <w:r>
        <w:rPr>
          <w:rFonts w:ascii="Times New Roman" w:hAnsi="Times New Roman"/>
          <w:szCs w:val="32"/>
        </w:rPr>
        <w:t>生态优先、绿色发展</w:t>
      </w:r>
      <w:r>
        <w:rPr>
          <w:rFonts w:hint="eastAsia" w:ascii="Times New Roman" w:hAnsi="Times New Roman"/>
          <w:szCs w:val="32"/>
        </w:rPr>
        <w:t>”</w:t>
      </w:r>
      <w:r>
        <w:rPr>
          <w:rFonts w:ascii="Times New Roman" w:hAnsi="Times New Roman"/>
          <w:szCs w:val="32"/>
        </w:rPr>
        <w:t>之路，创新实践</w:t>
      </w:r>
      <w:r>
        <w:rPr>
          <w:rFonts w:hint="eastAsia" w:ascii="Times New Roman" w:hAnsi="Times New Roman"/>
          <w:szCs w:val="32"/>
        </w:rPr>
        <w:t>“</w:t>
      </w:r>
      <w:r>
        <w:rPr>
          <w:rFonts w:ascii="Times New Roman" w:hAnsi="Times New Roman"/>
          <w:szCs w:val="32"/>
        </w:rPr>
        <w:t>让道路成风景、建设人民满意交通</w:t>
      </w:r>
      <w:r>
        <w:rPr>
          <w:rFonts w:hint="eastAsia" w:ascii="Times New Roman" w:hAnsi="Times New Roman"/>
          <w:szCs w:val="32"/>
        </w:rPr>
        <w:t>”</w:t>
      </w:r>
      <w:r>
        <w:rPr>
          <w:rFonts w:ascii="Times New Roman" w:hAnsi="Times New Roman"/>
          <w:szCs w:val="32"/>
        </w:rPr>
        <w:t>奋斗目标，加快区域综合交通枢纽、客运服务基地、现代物流基地、内河重要开放口岸、旅游交通等建设，打通大通道、畅通内循环、实现一体化，构建</w:t>
      </w:r>
      <w:r>
        <w:rPr>
          <w:rFonts w:hint="eastAsia" w:ascii="Times New Roman" w:hAnsi="Times New Roman"/>
          <w:szCs w:val="32"/>
        </w:rPr>
        <w:t>“</w:t>
      </w:r>
      <w:r>
        <w:rPr>
          <w:rFonts w:ascii="Times New Roman" w:hAnsi="Times New Roman"/>
          <w:szCs w:val="32"/>
        </w:rPr>
        <w:t>水陆兼行、东西双进、南北突围、通江达海</w:t>
      </w:r>
      <w:r>
        <w:rPr>
          <w:rFonts w:hint="eastAsia" w:ascii="Times New Roman" w:hAnsi="Times New Roman"/>
          <w:szCs w:val="32"/>
        </w:rPr>
        <w:t>”</w:t>
      </w:r>
      <w:r>
        <w:rPr>
          <w:rFonts w:ascii="Times New Roman" w:hAnsi="Times New Roman"/>
          <w:szCs w:val="32"/>
        </w:rPr>
        <w:t>交通大格局，服务水陆物流、交旅融合、乡村振兴、城市宜行等领域发展，当好</w:t>
      </w:r>
      <w:r>
        <w:rPr>
          <w:rFonts w:hint="eastAsia" w:ascii="Times New Roman" w:hAnsi="Times New Roman"/>
          <w:szCs w:val="32"/>
        </w:rPr>
        <w:t>“</w:t>
      </w:r>
      <w:r>
        <w:rPr>
          <w:rFonts w:ascii="Times New Roman" w:hAnsi="Times New Roman"/>
          <w:szCs w:val="32"/>
        </w:rPr>
        <w:t>联络员</w:t>
      </w:r>
      <w:r>
        <w:rPr>
          <w:rFonts w:hint="eastAsia" w:ascii="Times New Roman" w:hAnsi="Times New Roman"/>
          <w:szCs w:val="32"/>
        </w:rPr>
        <w:t>”</w:t>
      </w:r>
      <w:r>
        <w:rPr>
          <w:rFonts w:ascii="Times New Roman" w:hAnsi="Times New Roman"/>
          <w:szCs w:val="32"/>
        </w:rPr>
        <w:t>，建好</w:t>
      </w:r>
      <w:r>
        <w:rPr>
          <w:rFonts w:hint="eastAsia" w:ascii="Times New Roman" w:hAnsi="Times New Roman"/>
          <w:szCs w:val="32"/>
        </w:rPr>
        <w:t>“</w:t>
      </w:r>
      <w:r>
        <w:rPr>
          <w:rFonts w:ascii="Times New Roman" w:hAnsi="Times New Roman"/>
          <w:szCs w:val="32"/>
        </w:rPr>
        <w:t>大通道</w:t>
      </w:r>
      <w:r>
        <w:rPr>
          <w:rFonts w:hint="eastAsia" w:ascii="Times New Roman" w:hAnsi="Times New Roman"/>
          <w:szCs w:val="32"/>
        </w:rPr>
        <w:t>”</w:t>
      </w:r>
      <w:r>
        <w:rPr>
          <w:rFonts w:ascii="Times New Roman" w:hAnsi="Times New Roman"/>
          <w:szCs w:val="32"/>
        </w:rPr>
        <w:t>，支撑</w:t>
      </w:r>
      <w:r>
        <w:rPr>
          <w:rFonts w:ascii="Times New Roman" w:hAnsi="Times New Roman"/>
          <w:szCs w:val="32"/>
          <w:lang w:bidi="he-IL"/>
        </w:rPr>
        <w:t>郊区新城、文化名城、山水智城</w:t>
      </w:r>
      <w:r>
        <w:rPr>
          <w:rFonts w:hint="eastAsia" w:ascii="Times New Roman" w:hAnsi="Times New Roman"/>
          <w:szCs w:val="32"/>
          <w:lang w:bidi="he-IL"/>
        </w:rPr>
        <w:t>“</w:t>
      </w:r>
      <w:r>
        <w:rPr>
          <w:rFonts w:ascii="Times New Roman" w:hAnsi="Times New Roman"/>
          <w:szCs w:val="32"/>
          <w:lang w:bidi="he-IL"/>
        </w:rPr>
        <w:t>三城</w:t>
      </w:r>
      <w:r>
        <w:rPr>
          <w:rFonts w:hint="eastAsia" w:ascii="Times New Roman" w:hAnsi="Times New Roman"/>
          <w:szCs w:val="32"/>
          <w:lang w:bidi="he-IL"/>
        </w:rPr>
        <w:t>”</w:t>
      </w:r>
      <w:r>
        <w:rPr>
          <w:rFonts w:ascii="Times New Roman" w:hAnsi="Times New Roman"/>
          <w:szCs w:val="32"/>
          <w:lang w:bidi="he-IL"/>
        </w:rPr>
        <w:t>建设</w:t>
      </w:r>
      <w:r>
        <w:rPr>
          <w:rFonts w:ascii="Times New Roman" w:hAnsi="Times New Roman"/>
          <w:szCs w:val="32"/>
        </w:rPr>
        <w:t xml:space="preserve">。 </w:t>
      </w:r>
    </w:p>
    <w:p w14:paraId="2D4E2FD4">
      <w:pPr>
        <w:spacing w:line="600" w:lineRule="exact"/>
        <w:ind w:firstLine="640" w:firstLineChars="20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目标：到2025年，基本建成</w:t>
      </w:r>
      <w:r>
        <w:rPr>
          <w:rFonts w:hint="eastAsia" w:ascii="Times New Roman" w:hAnsi="Times New Roman"/>
          <w:szCs w:val="32"/>
        </w:rPr>
        <w:t>“</w:t>
      </w:r>
      <w:r>
        <w:rPr>
          <w:rFonts w:ascii="Times New Roman" w:hAnsi="Times New Roman"/>
          <w:szCs w:val="32"/>
        </w:rPr>
        <w:t>一通道一枢纽一中心一基地</w:t>
      </w:r>
      <w:r>
        <w:rPr>
          <w:rFonts w:hint="eastAsia" w:ascii="Times New Roman" w:hAnsi="Times New Roman"/>
          <w:szCs w:val="32"/>
        </w:rPr>
        <w:t>”</w:t>
      </w:r>
      <w:r>
        <w:rPr>
          <w:rFonts w:ascii="Times New Roman" w:hAnsi="Times New Roman"/>
          <w:szCs w:val="32"/>
        </w:rPr>
        <w:t>，即成渝地区双城经济圈沿江的重要通道、重庆重要的交通枢纽、联动</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的连接点和水陆空多式联运的交通集散中心、江海直达的货运物流基地。实现</w:t>
      </w:r>
      <w:r>
        <w:rPr>
          <w:rFonts w:hint="eastAsia" w:ascii="Times New Roman" w:hAnsi="Times New Roman"/>
          <w:szCs w:val="32"/>
        </w:rPr>
        <w:t>“</w:t>
      </w:r>
      <w:r>
        <w:rPr>
          <w:rFonts w:ascii="Times New Roman" w:hAnsi="Times New Roman"/>
          <w:szCs w:val="32"/>
        </w:rPr>
        <w:t>半小时重庆、2小时成都、5小时上海</w:t>
      </w:r>
      <w:r>
        <w:rPr>
          <w:rFonts w:hint="eastAsia" w:ascii="Times New Roman" w:hAnsi="Times New Roman"/>
          <w:szCs w:val="32"/>
        </w:rPr>
        <w:t>”</w:t>
      </w:r>
      <w:r>
        <w:rPr>
          <w:rFonts w:ascii="Times New Roman" w:hAnsi="Times New Roman"/>
          <w:szCs w:val="32"/>
        </w:rPr>
        <w:t>的交通出行目标。</w:t>
      </w:r>
    </w:p>
    <w:p w14:paraId="4DA18DAC">
      <w:pPr>
        <w:spacing w:line="600" w:lineRule="exact"/>
        <w:ind w:firstLine="640"/>
        <w:rPr>
          <w:rFonts w:ascii="Times New Roman" w:hAnsi="Times New Roman"/>
          <w:spacing w:val="-6"/>
          <w:szCs w:val="32"/>
        </w:rPr>
      </w:pPr>
      <w:r>
        <w:rPr>
          <w:rFonts w:ascii="Times New Roman" w:hAnsi="Times New Roman"/>
          <w:szCs w:val="32"/>
        </w:rPr>
        <w:t>成渝地区双城经济圈发展目标：充分发挥沿江通道作用和承接主城、联动渝东北、渝东南的重要节点作用。</w:t>
      </w:r>
    </w:p>
    <w:p w14:paraId="75E94E14">
      <w:pPr>
        <w:spacing w:line="600" w:lineRule="exact"/>
        <w:ind w:firstLine="640"/>
        <w:rPr>
          <w:rFonts w:ascii="Times New Roman" w:hAnsi="Times New Roman"/>
          <w:szCs w:val="32"/>
        </w:rPr>
      </w:pPr>
      <w:r>
        <w:rPr>
          <w:rFonts w:ascii="Times New Roman" w:hAnsi="Times New Roman"/>
          <w:szCs w:val="32"/>
        </w:rPr>
        <w:t>到2035年，全面建成</w:t>
      </w:r>
      <w:r>
        <w:rPr>
          <w:rFonts w:hint="eastAsia" w:ascii="Times New Roman" w:hAnsi="Times New Roman"/>
          <w:szCs w:val="32"/>
        </w:rPr>
        <w:t>“</w:t>
      </w:r>
      <w:r>
        <w:rPr>
          <w:rFonts w:ascii="Times New Roman" w:hAnsi="Times New Roman"/>
          <w:szCs w:val="32"/>
        </w:rPr>
        <w:t>一通道一枢纽一中心一基地</w:t>
      </w:r>
      <w:r>
        <w:rPr>
          <w:rFonts w:hint="eastAsia" w:ascii="Times New Roman" w:hAnsi="Times New Roman"/>
          <w:szCs w:val="32"/>
        </w:rPr>
        <w:t>”</w:t>
      </w:r>
      <w:r>
        <w:rPr>
          <w:rFonts w:ascii="Times New Roman" w:hAnsi="Times New Roman"/>
          <w:szCs w:val="32"/>
        </w:rPr>
        <w:t>， 全面建立一体化智能化交通体系，快速网干线网基础网全面提档升级，重要交通枢纽功能全面发挥，实现</w:t>
      </w:r>
      <w:r>
        <w:rPr>
          <w:rFonts w:hint="eastAsia" w:ascii="Times New Roman" w:hAnsi="Times New Roman"/>
          <w:szCs w:val="32"/>
        </w:rPr>
        <w:t>“</w:t>
      </w:r>
      <w:r>
        <w:rPr>
          <w:rFonts w:ascii="Times New Roman" w:hAnsi="Times New Roman"/>
          <w:szCs w:val="32"/>
        </w:rPr>
        <w:t>让道路成风景、建设人民满意交通</w:t>
      </w:r>
      <w:r>
        <w:rPr>
          <w:rFonts w:hint="eastAsia" w:ascii="Times New Roman" w:hAnsi="Times New Roman"/>
          <w:szCs w:val="32"/>
        </w:rPr>
        <w:t>”</w:t>
      </w:r>
      <w:r>
        <w:rPr>
          <w:rFonts w:ascii="Times New Roman" w:hAnsi="Times New Roman"/>
          <w:szCs w:val="32"/>
        </w:rPr>
        <w:t>，全面实现客运</w:t>
      </w:r>
      <w:r>
        <w:rPr>
          <w:rFonts w:hint="eastAsia" w:ascii="Times New Roman" w:hAnsi="Times New Roman"/>
          <w:szCs w:val="32"/>
        </w:rPr>
        <w:t>“</w:t>
      </w:r>
      <w:r>
        <w:rPr>
          <w:rFonts w:ascii="Times New Roman" w:hAnsi="Times New Roman"/>
          <w:szCs w:val="32"/>
        </w:rPr>
        <w:t>半小时重庆、2小时周边、3小时全国</w:t>
      </w:r>
      <w:r>
        <w:rPr>
          <w:rFonts w:hint="eastAsia" w:ascii="Times New Roman" w:hAnsi="Times New Roman"/>
          <w:szCs w:val="32"/>
        </w:rPr>
        <w:t>”</w:t>
      </w:r>
      <w:r>
        <w:rPr>
          <w:rFonts w:ascii="Times New Roman" w:hAnsi="Times New Roman"/>
          <w:szCs w:val="32"/>
        </w:rPr>
        <w:t>的交通出行目标，全面支撑交通强国建设</w:t>
      </w:r>
      <w:r>
        <w:rPr>
          <w:rFonts w:hint="eastAsia" w:ascii="Times New Roman" w:hAnsi="Times New Roman"/>
          <w:szCs w:val="32"/>
        </w:rPr>
        <w:t>“</w:t>
      </w:r>
      <w:r>
        <w:rPr>
          <w:rFonts w:ascii="Times New Roman" w:hAnsi="Times New Roman"/>
          <w:szCs w:val="32"/>
        </w:rPr>
        <w:t>全国123出行交通圈</w:t>
      </w:r>
      <w:r>
        <w:rPr>
          <w:rFonts w:hint="eastAsia" w:ascii="Times New Roman" w:hAnsi="Times New Roman"/>
          <w:szCs w:val="32"/>
        </w:rPr>
        <w:t>”</w:t>
      </w:r>
      <w:r>
        <w:rPr>
          <w:rFonts w:ascii="Times New Roman" w:hAnsi="Times New Roman"/>
          <w:szCs w:val="32"/>
        </w:rPr>
        <w:t>发展目标。</w:t>
      </w:r>
    </w:p>
    <w:p w14:paraId="4A83751A">
      <w:pPr>
        <w:pStyle w:val="4"/>
        <w:keepNext w:val="0"/>
        <w:keepLines w:val="0"/>
        <w:widowControl w:val="0"/>
        <w:spacing w:beforeLines="0" w:afterLines="0"/>
        <w:ind w:firstLine="640"/>
        <w:rPr>
          <w:rFonts w:eastAsia="方正黑体_GBK"/>
          <w:b w:val="0"/>
          <w:bCs w:val="0"/>
          <w:kern w:val="28"/>
        </w:rPr>
      </w:pPr>
      <w:bookmarkStart w:id="77" w:name="_Toc24256"/>
      <w:r>
        <w:rPr>
          <w:rFonts w:eastAsia="方正黑体_GBK"/>
          <w:b w:val="0"/>
          <w:bCs w:val="0"/>
          <w:kern w:val="28"/>
        </w:rPr>
        <w:t>二、战略方向</w:t>
      </w:r>
      <w:bookmarkEnd w:id="77"/>
    </w:p>
    <w:p w14:paraId="56174442">
      <w:pPr>
        <w:spacing w:line="600" w:lineRule="exact"/>
        <w:ind w:firstLine="640"/>
        <w:rPr>
          <w:rFonts w:ascii="Times New Roman" w:hAnsi="Times New Roman"/>
          <w:szCs w:val="32"/>
        </w:rPr>
      </w:pPr>
      <w:r>
        <w:rPr>
          <w:rFonts w:ascii="Times New Roman" w:hAnsi="Times New Roman"/>
          <w:szCs w:val="32"/>
        </w:rPr>
        <w:t>围绕丰都交通的功能布局和发展定位，坚持</w:t>
      </w:r>
      <w:r>
        <w:rPr>
          <w:rFonts w:hint="eastAsia" w:ascii="Times New Roman" w:hAnsi="Times New Roman"/>
          <w:szCs w:val="32"/>
        </w:rPr>
        <w:t>“</w:t>
      </w:r>
      <w:r>
        <w:rPr>
          <w:rFonts w:ascii="Times New Roman" w:hAnsi="Times New Roman"/>
          <w:szCs w:val="32"/>
        </w:rPr>
        <w:t>构建大通道、发展大物流、畅通大网络、提质大旅游、完善大体系</w:t>
      </w:r>
      <w:r>
        <w:rPr>
          <w:rFonts w:hint="eastAsia" w:ascii="Times New Roman" w:hAnsi="Times New Roman"/>
          <w:szCs w:val="32"/>
        </w:rPr>
        <w:t>”</w:t>
      </w:r>
      <w:r>
        <w:rPr>
          <w:rFonts w:ascii="Times New Roman" w:hAnsi="Times New Roman"/>
          <w:szCs w:val="32"/>
        </w:rPr>
        <w:t>的五大战略方针，科学制定丰都交通中长期发展战略。</w:t>
      </w:r>
    </w:p>
    <w:p w14:paraId="748D455F">
      <w:pPr>
        <w:spacing w:line="600" w:lineRule="exact"/>
        <w:ind w:firstLine="640" w:firstLineChars="200"/>
        <w:rPr>
          <w:rFonts w:ascii="Times New Roman" w:hAnsi="Times New Roman"/>
          <w:szCs w:val="32"/>
        </w:rPr>
      </w:pPr>
      <w:r>
        <w:rPr>
          <w:rFonts w:ascii="Times New Roman" w:hAnsi="Times New Roman" w:eastAsia="方正楷体_GBK"/>
          <w:szCs w:val="32"/>
        </w:rPr>
        <w:t>（一）构建大通道</w:t>
      </w:r>
      <w:r>
        <w:rPr>
          <w:rFonts w:ascii="Times New Roman" w:hAnsi="Times New Roman"/>
          <w:szCs w:val="32"/>
        </w:rPr>
        <w:t>。依托铁路、高速公路、长江黄金水道、机场等重大交通基础设施建设，积极融入</w:t>
      </w:r>
      <w:r>
        <w:rPr>
          <w:rFonts w:hint="eastAsia" w:ascii="Times New Roman" w:hAnsi="Times New Roman"/>
          <w:szCs w:val="32"/>
          <w:lang w:eastAsia="zh-CN"/>
        </w:rPr>
        <w:t>“一带一路”</w:t>
      </w:r>
      <w:r>
        <w:rPr>
          <w:rFonts w:ascii="Times New Roman" w:hAnsi="Times New Roman"/>
          <w:szCs w:val="32"/>
        </w:rPr>
        <w:t>、长江经济带、陆海新通道等国家重大发展战略。充分发挥丰都连接渝东北、渝东南、川东北、黔东北、武陵山区的交通节点优势和丰都</w:t>
      </w:r>
      <w:r>
        <w:rPr>
          <w:rFonts w:hint="eastAsia" w:ascii="Times New Roman" w:hAnsi="Times New Roman"/>
          <w:szCs w:val="32"/>
        </w:rPr>
        <w:t>-</w:t>
      </w:r>
      <w:r>
        <w:rPr>
          <w:rFonts w:ascii="Times New Roman" w:hAnsi="Times New Roman"/>
          <w:szCs w:val="32"/>
        </w:rPr>
        <w:t>忠县功能板块联动作用，打通</w:t>
      </w:r>
      <w:r>
        <w:rPr>
          <w:rFonts w:hint="eastAsia" w:ascii="Times New Roman" w:hAnsi="Times New Roman"/>
          <w:szCs w:val="32"/>
        </w:rPr>
        <w:t>“</w:t>
      </w:r>
      <w:r>
        <w:rPr>
          <w:rFonts w:ascii="Times New Roman" w:hAnsi="Times New Roman"/>
          <w:szCs w:val="32"/>
        </w:rPr>
        <w:t>大动脉</w:t>
      </w:r>
      <w:r>
        <w:rPr>
          <w:rFonts w:hint="eastAsia" w:ascii="Times New Roman" w:hAnsi="Times New Roman"/>
          <w:szCs w:val="32"/>
        </w:rPr>
        <w:t>”</w:t>
      </w:r>
      <w:r>
        <w:rPr>
          <w:rFonts w:ascii="Times New Roman" w:hAnsi="Times New Roman"/>
          <w:szCs w:val="32"/>
        </w:rPr>
        <w:t>，健全</w:t>
      </w:r>
      <w:r>
        <w:rPr>
          <w:rFonts w:hint="eastAsia" w:ascii="Times New Roman" w:hAnsi="Times New Roman"/>
          <w:szCs w:val="32"/>
        </w:rPr>
        <w:t>“</w:t>
      </w:r>
      <w:r>
        <w:rPr>
          <w:rFonts w:ascii="Times New Roman" w:hAnsi="Times New Roman"/>
          <w:szCs w:val="32"/>
        </w:rPr>
        <w:t>主骨架</w:t>
      </w:r>
      <w:r>
        <w:rPr>
          <w:rFonts w:hint="eastAsia" w:ascii="Times New Roman" w:hAnsi="Times New Roman"/>
          <w:szCs w:val="32"/>
        </w:rPr>
        <w:t>”</w:t>
      </w:r>
      <w:r>
        <w:rPr>
          <w:rFonts w:ascii="Times New Roman" w:hAnsi="Times New Roman"/>
          <w:szCs w:val="32"/>
        </w:rPr>
        <w:t>，全面提升与主城都市圈、万州及支点城市、邻近城市互联互通水平。激活沿江通畅动能，发挥沿江通道作用，推动成渝地区双城经济圈建设和</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协调发展。加快完善</w:t>
      </w:r>
      <w:r>
        <w:rPr>
          <w:rFonts w:hint="eastAsia" w:ascii="Times New Roman" w:hAnsi="Times New Roman"/>
          <w:szCs w:val="32"/>
        </w:rPr>
        <w:t>“</w:t>
      </w:r>
      <w:r>
        <w:rPr>
          <w:rFonts w:ascii="Times New Roman" w:hAnsi="Times New Roman"/>
          <w:szCs w:val="32"/>
        </w:rPr>
        <w:t>铁、公、水、空</w:t>
      </w:r>
      <w:r>
        <w:rPr>
          <w:rFonts w:hint="eastAsia" w:ascii="Times New Roman" w:hAnsi="Times New Roman"/>
          <w:szCs w:val="32"/>
        </w:rPr>
        <w:t>”</w:t>
      </w:r>
      <w:r>
        <w:rPr>
          <w:rFonts w:ascii="Times New Roman" w:hAnsi="Times New Roman"/>
          <w:szCs w:val="32"/>
        </w:rPr>
        <w:t>综合交通体系，积极融入成渝地区双城经济圈，建成</w:t>
      </w:r>
      <w:r>
        <w:rPr>
          <w:rFonts w:hint="eastAsia" w:ascii="Times New Roman" w:hAnsi="Times New Roman"/>
          <w:szCs w:val="32"/>
        </w:rPr>
        <w:t>“</w:t>
      </w:r>
      <w:r>
        <w:rPr>
          <w:rFonts w:ascii="Times New Roman" w:hAnsi="Times New Roman"/>
          <w:szCs w:val="32"/>
        </w:rPr>
        <w:t>互联互通、江海直达、便捷高效</w:t>
      </w:r>
      <w:r>
        <w:rPr>
          <w:rFonts w:hint="eastAsia" w:ascii="Times New Roman" w:hAnsi="Times New Roman"/>
          <w:szCs w:val="32"/>
        </w:rPr>
        <w:t>”</w:t>
      </w:r>
      <w:r>
        <w:rPr>
          <w:rFonts w:ascii="Times New Roman" w:hAnsi="Times New Roman"/>
          <w:szCs w:val="32"/>
        </w:rPr>
        <w:t>的对外出境大通道，重点构建</w:t>
      </w:r>
      <w:r>
        <w:rPr>
          <w:rFonts w:hint="eastAsia" w:ascii="Times New Roman" w:hAnsi="Times New Roman"/>
          <w:szCs w:val="32"/>
        </w:rPr>
        <w:t>“</w:t>
      </w:r>
      <w:r>
        <w:rPr>
          <w:rFonts w:ascii="Times New Roman" w:hAnsi="Times New Roman"/>
          <w:szCs w:val="32"/>
        </w:rPr>
        <w:t>丰</w:t>
      </w:r>
      <w:r>
        <w:rPr>
          <w:rFonts w:hint="eastAsia" w:ascii="Times New Roman" w:hAnsi="Times New Roman"/>
          <w:szCs w:val="32"/>
        </w:rPr>
        <w:t>”</w:t>
      </w:r>
      <w:r>
        <w:rPr>
          <w:rFonts w:ascii="Times New Roman" w:hAnsi="Times New Roman"/>
          <w:szCs w:val="32"/>
        </w:rPr>
        <w:t>字型铁路网，</w:t>
      </w:r>
      <w:r>
        <w:rPr>
          <w:rFonts w:hint="eastAsia" w:ascii="Times New Roman" w:hAnsi="Times New Roman"/>
          <w:szCs w:val="32"/>
        </w:rPr>
        <w:t>“</w:t>
      </w:r>
      <w:r>
        <w:rPr>
          <w:rFonts w:ascii="Times New Roman" w:hAnsi="Times New Roman"/>
          <w:szCs w:val="32"/>
        </w:rPr>
        <w:t>井</w:t>
      </w:r>
      <w:r>
        <w:rPr>
          <w:rFonts w:hint="eastAsia" w:ascii="Times New Roman" w:hAnsi="Times New Roman"/>
          <w:szCs w:val="32"/>
        </w:rPr>
        <w:t>”</w:t>
      </w:r>
      <w:r>
        <w:rPr>
          <w:rFonts w:ascii="Times New Roman" w:hAnsi="Times New Roman"/>
          <w:szCs w:val="32"/>
        </w:rPr>
        <w:t>字型高速公路网、</w:t>
      </w:r>
      <w:r>
        <w:rPr>
          <w:rFonts w:hint="eastAsia" w:ascii="Times New Roman" w:hAnsi="Times New Roman"/>
          <w:szCs w:val="32"/>
        </w:rPr>
        <w:t>“</w:t>
      </w:r>
      <w:r>
        <w:rPr>
          <w:rFonts w:ascii="Times New Roman" w:hAnsi="Times New Roman"/>
          <w:szCs w:val="32"/>
        </w:rPr>
        <w:t>三港四区多码头</w:t>
      </w:r>
      <w:r>
        <w:rPr>
          <w:rFonts w:hint="eastAsia" w:ascii="Times New Roman" w:hAnsi="Times New Roman"/>
          <w:szCs w:val="32"/>
        </w:rPr>
        <w:t>”</w:t>
      </w:r>
      <w:r>
        <w:rPr>
          <w:rFonts w:ascii="Times New Roman" w:hAnsi="Times New Roman"/>
          <w:szCs w:val="32"/>
        </w:rPr>
        <w:t>的水上服务网和</w:t>
      </w:r>
      <w:r>
        <w:rPr>
          <w:rFonts w:hint="eastAsia" w:ascii="Times New Roman" w:hAnsi="Times New Roman"/>
          <w:szCs w:val="32"/>
        </w:rPr>
        <w:t>“</w:t>
      </w:r>
      <w:r>
        <w:rPr>
          <w:rFonts w:ascii="Times New Roman" w:hAnsi="Times New Roman"/>
          <w:szCs w:val="32"/>
        </w:rPr>
        <w:t>1+N</w:t>
      </w:r>
      <w:r>
        <w:rPr>
          <w:rFonts w:hint="eastAsia" w:ascii="Times New Roman" w:hAnsi="Times New Roman"/>
          <w:szCs w:val="32"/>
        </w:rPr>
        <w:t>”</w:t>
      </w:r>
      <w:r>
        <w:rPr>
          <w:rFonts w:ascii="Times New Roman" w:hAnsi="Times New Roman"/>
          <w:szCs w:val="32"/>
        </w:rPr>
        <w:t>通用机场。</w:t>
      </w:r>
    </w:p>
    <w:p w14:paraId="26155AB9">
      <w:pPr>
        <w:spacing w:line="600" w:lineRule="exact"/>
        <w:ind w:firstLine="640" w:firstLineChars="200"/>
        <w:rPr>
          <w:rFonts w:ascii="Times New Roman" w:hAnsi="Times New Roman"/>
          <w:szCs w:val="32"/>
        </w:rPr>
      </w:pPr>
      <w:r>
        <w:rPr>
          <w:rFonts w:ascii="Times New Roman" w:hAnsi="Times New Roman" w:eastAsia="方正楷体_GBK"/>
          <w:szCs w:val="32"/>
        </w:rPr>
        <w:t>（二）发展大物流</w:t>
      </w:r>
      <w:r>
        <w:rPr>
          <w:rFonts w:ascii="Times New Roman" w:hAnsi="Times New Roman"/>
          <w:szCs w:val="32"/>
        </w:rPr>
        <w:t>。依托长江黄金水道、铁路、集疏运通道等交通区位优势，打造形成内畅外联、多式衔接、高效便捷、绿色智慧的现代化物流大网络。充分发挥丰都长江常年深水航道天然优势，充分发挥水天坪作业区集聚效应，实现港口码头集约化、专业化发展。积极推进广忠黔等干线铁路延伸支线进港、进园区，完善港口集疏运公路，拓展港口腹地范围。探索研究江海直达船型和运输组织，优化铁水联运等多式联运模式。实现宜水则水、宜铁则铁、宜公则公，最大程度降低全社会物流成本，为区域经济和产业发展提供有力支撑。</w:t>
      </w:r>
    </w:p>
    <w:p w14:paraId="4A62CD15">
      <w:pPr>
        <w:spacing w:line="600" w:lineRule="exact"/>
        <w:ind w:firstLine="640" w:firstLineChars="200"/>
        <w:rPr>
          <w:rFonts w:ascii="Times New Roman" w:hAnsi="Times New Roman"/>
          <w:szCs w:val="32"/>
        </w:rPr>
      </w:pPr>
      <w:r>
        <w:rPr>
          <w:rFonts w:ascii="Times New Roman" w:hAnsi="Times New Roman" w:eastAsia="方正楷体_GBK"/>
          <w:szCs w:val="32"/>
        </w:rPr>
        <w:t>（三）畅通大网络</w:t>
      </w:r>
      <w:r>
        <w:rPr>
          <w:rFonts w:ascii="Times New Roman" w:hAnsi="Times New Roman"/>
          <w:szCs w:val="32"/>
        </w:rPr>
        <w:t>。依托高速公路、普通国省干线、高速公路连接线、快速路等交通集成效应，形成多向辐射的综合立体交通网，强化丰都与周边区县的互联互通，畅通县域内部交通循环，重点构建</w:t>
      </w:r>
      <w:r>
        <w:rPr>
          <w:rFonts w:hint="eastAsia" w:ascii="Times New Roman" w:hAnsi="Times New Roman"/>
          <w:szCs w:val="32"/>
        </w:rPr>
        <w:t>“</w:t>
      </w:r>
      <w:r>
        <w:rPr>
          <w:rFonts w:ascii="Times New Roman" w:hAnsi="Times New Roman"/>
          <w:szCs w:val="32"/>
        </w:rPr>
        <w:t>一圈两环六射多联线</w:t>
      </w:r>
      <w:r>
        <w:rPr>
          <w:rFonts w:hint="eastAsia" w:ascii="Times New Roman" w:hAnsi="Times New Roman"/>
          <w:szCs w:val="32"/>
        </w:rPr>
        <w:t>”</w:t>
      </w:r>
      <w:r>
        <w:rPr>
          <w:rFonts w:ascii="Times New Roman" w:hAnsi="Times New Roman"/>
          <w:szCs w:val="32"/>
        </w:rPr>
        <w:t>的区域交通基础设施网络。</w:t>
      </w:r>
    </w:p>
    <w:p w14:paraId="2AA276AA">
      <w:pPr>
        <w:spacing w:line="600" w:lineRule="exact"/>
        <w:ind w:firstLine="640" w:firstLineChars="200"/>
        <w:rPr>
          <w:rFonts w:ascii="Times New Roman" w:hAnsi="Times New Roman"/>
          <w:szCs w:val="32"/>
        </w:rPr>
      </w:pPr>
      <w:r>
        <w:rPr>
          <w:rFonts w:ascii="Times New Roman" w:hAnsi="Times New Roman" w:eastAsia="方正楷体_GBK"/>
          <w:szCs w:val="32"/>
        </w:rPr>
        <w:t>（四）提质大旅游</w:t>
      </w:r>
      <w:r>
        <w:rPr>
          <w:rFonts w:ascii="Times New Roman" w:hAnsi="Times New Roman"/>
          <w:szCs w:val="32"/>
        </w:rPr>
        <w:t>。围绕长江三峡旅游带、雪玉洞、南天湖、九重天、雪玉山等重要旅游地，加快一批景区快速路、景区连接线、客运枢纽、公交场站布局等建设，与周边区县主要景区实现互联互通，重点加快丰都游轮辅港至南天湖（仙女山机场）高速公路建设等。围绕</w:t>
      </w:r>
      <w:r>
        <w:rPr>
          <w:rFonts w:hint="eastAsia" w:ascii="Times New Roman" w:hAnsi="Times New Roman"/>
          <w:szCs w:val="32"/>
        </w:rPr>
        <w:t>“</w:t>
      </w:r>
      <w:r>
        <w:rPr>
          <w:rFonts w:ascii="Times New Roman" w:hAnsi="Times New Roman"/>
          <w:szCs w:val="32"/>
        </w:rPr>
        <w:t>三峡港城</w:t>
      </w:r>
      <w:r>
        <w:rPr>
          <w:rFonts w:hint="eastAsia" w:ascii="Times New Roman" w:hAnsi="Times New Roman"/>
          <w:szCs w:val="32"/>
        </w:rPr>
        <w:t>”</w:t>
      </w:r>
      <w:r>
        <w:rPr>
          <w:rFonts w:ascii="Times New Roman" w:hAnsi="Times New Roman"/>
          <w:szCs w:val="32"/>
        </w:rPr>
        <w:t>建设，高品质打造游轮辅港，高标准实施龙河旅游航道开发，打造环射结合、立体互联、域内畅通的旅游交通网，实现交旅高度融合，推动社会经济和旅游产业高质量发展。</w:t>
      </w:r>
    </w:p>
    <w:p w14:paraId="475724B4">
      <w:pPr>
        <w:spacing w:line="600" w:lineRule="exact"/>
        <w:ind w:firstLine="640" w:firstLineChars="200"/>
        <w:rPr>
          <w:rFonts w:ascii="Times New Roman" w:hAnsi="Times New Roman"/>
          <w:szCs w:val="32"/>
        </w:rPr>
      </w:pPr>
      <w:r>
        <w:rPr>
          <w:rFonts w:ascii="Times New Roman" w:hAnsi="Times New Roman" w:eastAsia="方正楷体_GBK"/>
          <w:szCs w:val="32"/>
        </w:rPr>
        <w:t>（五）完善大体系</w:t>
      </w:r>
      <w:r>
        <w:rPr>
          <w:rFonts w:ascii="Times New Roman" w:hAnsi="Times New Roman"/>
          <w:szCs w:val="32"/>
        </w:rPr>
        <w:t>。依托客货运输站场布局，统筹各种运输方式，主动适应新时代交通运输服务需求的新变化，实现客运出行由</w:t>
      </w:r>
      <w:r>
        <w:rPr>
          <w:rFonts w:hint="eastAsia" w:ascii="Times New Roman" w:hAnsi="Times New Roman"/>
          <w:szCs w:val="32"/>
        </w:rPr>
        <w:t>“</w:t>
      </w:r>
      <w:r>
        <w:rPr>
          <w:rFonts w:ascii="Times New Roman" w:hAnsi="Times New Roman"/>
          <w:szCs w:val="32"/>
        </w:rPr>
        <w:t>便其行</w:t>
      </w:r>
      <w:r>
        <w:rPr>
          <w:rFonts w:hint="eastAsia" w:ascii="Times New Roman" w:hAnsi="Times New Roman"/>
          <w:szCs w:val="32"/>
        </w:rPr>
        <w:t>”</w:t>
      </w:r>
      <w:r>
        <w:rPr>
          <w:rFonts w:ascii="Times New Roman" w:hAnsi="Times New Roman"/>
          <w:szCs w:val="32"/>
        </w:rPr>
        <w:t>向</w:t>
      </w:r>
      <w:r>
        <w:rPr>
          <w:rFonts w:hint="eastAsia" w:ascii="Times New Roman" w:hAnsi="Times New Roman"/>
          <w:szCs w:val="32"/>
        </w:rPr>
        <w:t>“</w:t>
      </w:r>
      <w:r>
        <w:rPr>
          <w:rFonts w:ascii="Times New Roman" w:hAnsi="Times New Roman"/>
          <w:szCs w:val="32"/>
        </w:rPr>
        <w:t>悦其行</w:t>
      </w:r>
      <w:r>
        <w:rPr>
          <w:rFonts w:hint="eastAsia" w:ascii="Times New Roman" w:hAnsi="Times New Roman"/>
          <w:szCs w:val="32"/>
        </w:rPr>
        <w:t>”</w:t>
      </w:r>
      <w:r>
        <w:rPr>
          <w:rFonts w:ascii="Times New Roman" w:hAnsi="Times New Roman"/>
          <w:szCs w:val="32"/>
        </w:rPr>
        <w:t>转型、货运物流由</w:t>
      </w:r>
      <w:r>
        <w:rPr>
          <w:rFonts w:hint="eastAsia" w:ascii="Times New Roman" w:hAnsi="Times New Roman"/>
          <w:szCs w:val="32"/>
        </w:rPr>
        <w:t>“</w:t>
      </w:r>
      <w:r>
        <w:rPr>
          <w:rFonts w:ascii="Times New Roman" w:hAnsi="Times New Roman"/>
          <w:szCs w:val="32"/>
        </w:rPr>
        <w:t>畅其流</w:t>
      </w:r>
      <w:r>
        <w:rPr>
          <w:rFonts w:hint="eastAsia" w:ascii="Times New Roman" w:hAnsi="Times New Roman"/>
          <w:szCs w:val="32"/>
        </w:rPr>
        <w:t>”</w:t>
      </w:r>
      <w:r>
        <w:rPr>
          <w:rFonts w:ascii="Times New Roman" w:hAnsi="Times New Roman"/>
          <w:szCs w:val="32"/>
        </w:rPr>
        <w:t>向</w:t>
      </w:r>
      <w:r>
        <w:rPr>
          <w:rFonts w:hint="eastAsia" w:ascii="Times New Roman" w:hAnsi="Times New Roman"/>
          <w:szCs w:val="32"/>
        </w:rPr>
        <w:t>“</w:t>
      </w:r>
      <w:r>
        <w:rPr>
          <w:rFonts w:ascii="Times New Roman" w:hAnsi="Times New Roman"/>
          <w:szCs w:val="32"/>
        </w:rPr>
        <w:t>优其流</w:t>
      </w:r>
      <w:r>
        <w:rPr>
          <w:rFonts w:hint="eastAsia" w:ascii="Times New Roman" w:hAnsi="Times New Roman"/>
          <w:szCs w:val="32"/>
        </w:rPr>
        <w:t>”</w:t>
      </w:r>
      <w:r>
        <w:rPr>
          <w:rFonts w:ascii="Times New Roman" w:hAnsi="Times New Roman"/>
          <w:szCs w:val="32"/>
        </w:rPr>
        <w:t>转型。积极打造</w:t>
      </w:r>
      <w:r>
        <w:rPr>
          <w:rFonts w:hint="eastAsia" w:ascii="Times New Roman" w:hAnsi="Times New Roman"/>
          <w:szCs w:val="32"/>
        </w:rPr>
        <w:t>“</w:t>
      </w:r>
      <w:r>
        <w:rPr>
          <w:rFonts w:ascii="Times New Roman" w:hAnsi="Times New Roman"/>
          <w:szCs w:val="32"/>
        </w:rPr>
        <w:t>高铁新城</w:t>
      </w:r>
      <w:r>
        <w:rPr>
          <w:rFonts w:hint="eastAsia" w:ascii="Times New Roman" w:hAnsi="Times New Roman"/>
          <w:szCs w:val="32"/>
        </w:rPr>
        <w:t>”</w:t>
      </w:r>
      <w:r>
        <w:rPr>
          <w:rFonts w:ascii="Times New Roman" w:hAnsi="Times New Roman"/>
          <w:szCs w:val="32"/>
        </w:rPr>
        <w:t xml:space="preserve">，构建 </w:t>
      </w:r>
      <w:r>
        <w:rPr>
          <w:rFonts w:hint="eastAsia" w:ascii="Times New Roman" w:hAnsi="Times New Roman"/>
          <w:szCs w:val="32"/>
        </w:rPr>
        <w:t>“</w:t>
      </w:r>
      <w:r>
        <w:rPr>
          <w:rFonts w:ascii="Times New Roman" w:hAnsi="Times New Roman"/>
          <w:szCs w:val="32"/>
        </w:rPr>
        <w:t>1+2+N</w:t>
      </w:r>
      <w:r>
        <w:rPr>
          <w:rFonts w:hint="eastAsia" w:ascii="Times New Roman" w:hAnsi="Times New Roman"/>
          <w:szCs w:val="32"/>
        </w:rPr>
        <w:t>”</w:t>
      </w:r>
      <w:r>
        <w:rPr>
          <w:rFonts w:ascii="Times New Roman" w:hAnsi="Times New Roman"/>
          <w:szCs w:val="32"/>
        </w:rPr>
        <w:t>客运枢纽体系和</w:t>
      </w:r>
      <w:r>
        <w:rPr>
          <w:rFonts w:hint="eastAsia" w:ascii="Times New Roman" w:hAnsi="Times New Roman"/>
          <w:szCs w:val="32"/>
        </w:rPr>
        <w:t>“</w:t>
      </w:r>
      <w:r>
        <w:rPr>
          <w:rFonts w:ascii="Times New Roman" w:hAnsi="Times New Roman"/>
          <w:szCs w:val="32"/>
        </w:rPr>
        <w:t>一主两副多点</w:t>
      </w:r>
      <w:r>
        <w:rPr>
          <w:rFonts w:hint="eastAsia" w:ascii="Times New Roman" w:hAnsi="Times New Roman"/>
          <w:szCs w:val="32"/>
        </w:rPr>
        <w:t>”</w:t>
      </w:r>
      <w:r>
        <w:rPr>
          <w:rFonts w:ascii="Times New Roman" w:hAnsi="Times New Roman"/>
          <w:szCs w:val="32"/>
        </w:rPr>
        <w:t>水运作业区体系。推进一批产业路、园区路、港口连接线建设，全县重点园区实现2种以上运输方式接入。全面实现交通基础设施和运营管理的智能化和现代化，强化交通新基建，推进全县新能源充电设施和岸电设备建设，建设交通信息平台，积极推广交通大数据应用。推进行业管理改革，创新治理体系，推动行业治理由</w:t>
      </w:r>
      <w:r>
        <w:rPr>
          <w:rFonts w:hint="eastAsia" w:ascii="Times New Roman" w:hAnsi="Times New Roman"/>
          <w:szCs w:val="32"/>
        </w:rPr>
        <w:t>“</w:t>
      </w:r>
      <w:r>
        <w:rPr>
          <w:rFonts w:ascii="Times New Roman" w:hAnsi="Times New Roman"/>
          <w:szCs w:val="32"/>
        </w:rPr>
        <w:t>管大家</w:t>
      </w:r>
      <w:r>
        <w:rPr>
          <w:rFonts w:hint="eastAsia" w:ascii="Times New Roman" w:hAnsi="Times New Roman"/>
          <w:szCs w:val="32"/>
        </w:rPr>
        <w:t>”</w:t>
      </w:r>
      <w:r>
        <w:rPr>
          <w:rFonts w:ascii="Times New Roman" w:hAnsi="Times New Roman"/>
          <w:szCs w:val="32"/>
        </w:rPr>
        <w:t>向</w:t>
      </w:r>
      <w:r>
        <w:rPr>
          <w:rFonts w:hint="eastAsia" w:ascii="Times New Roman" w:hAnsi="Times New Roman"/>
          <w:szCs w:val="32"/>
        </w:rPr>
        <w:t>“</w:t>
      </w:r>
      <w:r>
        <w:rPr>
          <w:rFonts w:ascii="Times New Roman" w:hAnsi="Times New Roman"/>
          <w:szCs w:val="32"/>
        </w:rPr>
        <w:t>大家管</w:t>
      </w:r>
      <w:r>
        <w:rPr>
          <w:rFonts w:hint="eastAsia" w:ascii="Times New Roman" w:hAnsi="Times New Roman"/>
          <w:szCs w:val="32"/>
        </w:rPr>
        <w:t>”</w:t>
      </w:r>
      <w:r>
        <w:rPr>
          <w:rFonts w:ascii="Times New Roman" w:hAnsi="Times New Roman"/>
          <w:szCs w:val="32"/>
        </w:rPr>
        <w:t>转型，适应现代化交通管理新需求。</w:t>
      </w:r>
    </w:p>
    <w:p w14:paraId="65A26145">
      <w:pPr>
        <w:spacing w:line="600" w:lineRule="exact"/>
        <w:jc w:val="center"/>
        <w:rPr>
          <w:rFonts w:ascii="Times New Roman" w:hAnsi="Times New Roman" w:eastAsia="方正小标宋_GBK"/>
          <w:kern w:val="28"/>
          <w:sz w:val="44"/>
          <w:szCs w:val="44"/>
        </w:rPr>
      </w:pPr>
    </w:p>
    <w:p w14:paraId="72D2A6E6">
      <w:pPr>
        <w:pStyle w:val="3"/>
        <w:spacing w:beforeLines="0" w:line="600" w:lineRule="exact"/>
        <w:rPr>
          <w:rFonts w:ascii="Times New Roman" w:hAnsi="Times New Roman" w:cs="Times New Roman"/>
          <w:b w:val="0"/>
          <w:bCs w:val="0"/>
          <w:sz w:val="36"/>
          <w:szCs w:val="36"/>
        </w:rPr>
      </w:pPr>
      <w:bookmarkStart w:id="78" w:name="_Toc10517"/>
      <w:r>
        <w:rPr>
          <w:rFonts w:ascii="Times New Roman" w:hAnsi="Times New Roman" w:cs="Times New Roman"/>
          <w:b w:val="0"/>
          <w:bCs w:val="0"/>
          <w:sz w:val="36"/>
          <w:szCs w:val="36"/>
        </w:rPr>
        <w:t xml:space="preserve">第三章  </w:t>
      </w:r>
      <w:r>
        <w:rPr>
          <w:rFonts w:hint="eastAsia" w:ascii="Times New Roman" w:hAnsi="Times New Roman" w:cs="Times New Roman"/>
          <w:b w:val="0"/>
          <w:bCs w:val="0"/>
          <w:sz w:val="36"/>
          <w:szCs w:val="36"/>
        </w:rPr>
        <w:t>“十四五”</w:t>
      </w:r>
      <w:r>
        <w:rPr>
          <w:rFonts w:ascii="Times New Roman" w:hAnsi="Times New Roman" w:cs="Times New Roman"/>
          <w:b w:val="0"/>
          <w:bCs w:val="0"/>
          <w:sz w:val="36"/>
          <w:szCs w:val="36"/>
        </w:rPr>
        <w:t>规划总体思路</w:t>
      </w:r>
      <w:bookmarkEnd w:id="78"/>
    </w:p>
    <w:p w14:paraId="18DC3287">
      <w:pPr>
        <w:pStyle w:val="3"/>
        <w:spacing w:beforeLines="0" w:line="600" w:lineRule="exact"/>
        <w:rPr>
          <w:rFonts w:ascii="Times New Roman" w:hAnsi="Times New Roman" w:cs="Times New Roman"/>
          <w:b w:val="0"/>
          <w:bCs w:val="0"/>
          <w:sz w:val="36"/>
          <w:szCs w:val="36"/>
        </w:rPr>
      </w:pPr>
    </w:p>
    <w:p w14:paraId="5BAAC0CA">
      <w:pPr>
        <w:pStyle w:val="4"/>
        <w:keepNext w:val="0"/>
        <w:keepLines w:val="0"/>
        <w:widowControl w:val="0"/>
        <w:spacing w:beforeLines="0" w:afterLines="0"/>
        <w:ind w:firstLine="640"/>
        <w:rPr>
          <w:rFonts w:eastAsia="方正黑体_GBK"/>
          <w:b w:val="0"/>
          <w:bCs w:val="0"/>
          <w:kern w:val="28"/>
        </w:rPr>
      </w:pPr>
      <w:bookmarkStart w:id="79" w:name="_Toc11753"/>
      <w:r>
        <w:rPr>
          <w:rFonts w:eastAsia="方正黑体_GBK"/>
          <w:b w:val="0"/>
          <w:bCs w:val="0"/>
          <w:kern w:val="28"/>
        </w:rPr>
        <w:t>一、指导思想</w:t>
      </w:r>
      <w:bookmarkEnd w:id="79"/>
    </w:p>
    <w:p w14:paraId="704764FC">
      <w:pPr>
        <w:spacing w:line="600" w:lineRule="exact"/>
        <w:ind w:firstLine="640"/>
        <w:rPr>
          <w:rFonts w:ascii="Times New Roman" w:hAnsi="Times New Roman"/>
          <w:szCs w:val="32"/>
        </w:rPr>
      </w:pPr>
      <w:r>
        <w:rPr>
          <w:rFonts w:ascii="Times New Roman" w:hAnsi="Times New Roman"/>
          <w:szCs w:val="32"/>
        </w:rPr>
        <w:t>以习近平新时代中国特色社会主义思想为指导，全面贯彻党的十九大和十九届历次全会精神，</w:t>
      </w:r>
      <w:r>
        <w:rPr>
          <w:rFonts w:hint="eastAsia" w:ascii="Times New Roman" w:hAnsi="Times New Roman"/>
          <w:szCs w:val="32"/>
          <w:lang w:eastAsia="zh-CN"/>
        </w:rPr>
        <w:t>增强“四个意识”、坚定“四个自信”、做到“两个维护”</w:t>
      </w:r>
      <w:r>
        <w:rPr>
          <w:rFonts w:ascii="Times New Roman" w:hAnsi="Times New Roman"/>
          <w:szCs w:val="32"/>
        </w:rPr>
        <w:t>，统筹推进</w:t>
      </w:r>
      <w:r>
        <w:rPr>
          <w:rFonts w:hint="eastAsia" w:ascii="Times New Roman" w:hAnsi="Times New Roman"/>
          <w:szCs w:val="32"/>
        </w:rPr>
        <w:t>“</w:t>
      </w:r>
      <w:r>
        <w:rPr>
          <w:rFonts w:ascii="Times New Roman" w:hAnsi="Times New Roman"/>
          <w:szCs w:val="32"/>
        </w:rPr>
        <w:t>五位一体</w:t>
      </w:r>
      <w:r>
        <w:rPr>
          <w:rFonts w:hint="eastAsia" w:ascii="Times New Roman" w:hAnsi="Times New Roman"/>
          <w:szCs w:val="32"/>
        </w:rPr>
        <w:t>”</w:t>
      </w:r>
      <w:r>
        <w:rPr>
          <w:rFonts w:ascii="Times New Roman" w:hAnsi="Times New Roman"/>
          <w:szCs w:val="32"/>
        </w:rPr>
        <w:t>总体布局，协调推进</w:t>
      </w:r>
      <w:r>
        <w:rPr>
          <w:rFonts w:hint="eastAsia" w:ascii="Times New Roman" w:hAnsi="Times New Roman"/>
          <w:szCs w:val="32"/>
        </w:rPr>
        <w:t>“</w:t>
      </w:r>
      <w:r>
        <w:rPr>
          <w:rFonts w:ascii="Times New Roman" w:hAnsi="Times New Roman"/>
          <w:szCs w:val="32"/>
        </w:rPr>
        <w:t>四个全面</w:t>
      </w:r>
      <w:r>
        <w:rPr>
          <w:rFonts w:hint="eastAsia" w:ascii="Times New Roman" w:hAnsi="Times New Roman"/>
          <w:szCs w:val="32"/>
        </w:rPr>
        <w:t>”</w:t>
      </w:r>
      <w:r>
        <w:rPr>
          <w:rFonts w:ascii="Times New Roman" w:hAnsi="Times New Roman"/>
          <w:szCs w:val="32"/>
        </w:rPr>
        <w:t>战略布局，紧紧围绕习近平总书记对重庆提出的</w:t>
      </w:r>
      <w:r>
        <w:rPr>
          <w:rFonts w:hint="eastAsia" w:ascii="Times New Roman" w:hAnsi="Times New Roman"/>
          <w:szCs w:val="32"/>
        </w:rPr>
        <w:t>“</w:t>
      </w:r>
      <w:r>
        <w:rPr>
          <w:rFonts w:ascii="Times New Roman" w:hAnsi="Times New Roman"/>
          <w:szCs w:val="32"/>
        </w:rPr>
        <w:t>两点</w:t>
      </w:r>
      <w:r>
        <w:rPr>
          <w:rFonts w:hint="eastAsia" w:ascii="Times New Roman" w:hAnsi="Times New Roman"/>
          <w:szCs w:val="32"/>
        </w:rPr>
        <w:t>”</w:t>
      </w:r>
      <w:r>
        <w:rPr>
          <w:rFonts w:ascii="Times New Roman" w:hAnsi="Times New Roman"/>
          <w:szCs w:val="32"/>
        </w:rPr>
        <w:t>定位、</w:t>
      </w:r>
      <w:r>
        <w:rPr>
          <w:rFonts w:hint="eastAsia" w:ascii="Times New Roman" w:hAnsi="Times New Roman"/>
          <w:szCs w:val="32"/>
        </w:rPr>
        <w:t>“</w:t>
      </w:r>
      <w:r>
        <w:rPr>
          <w:rFonts w:ascii="Times New Roman" w:hAnsi="Times New Roman"/>
          <w:szCs w:val="32"/>
        </w:rPr>
        <w:t>两地</w:t>
      </w:r>
      <w:r>
        <w:rPr>
          <w:rFonts w:hint="eastAsia" w:ascii="Times New Roman" w:hAnsi="Times New Roman"/>
          <w:szCs w:val="32"/>
        </w:rPr>
        <w:t>”“</w:t>
      </w:r>
      <w:r>
        <w:rPr>
          <w:rFonts w:ascii="Times New Roman" w:hAnsi="Times New Roman"/>
          <w:szCs w:val="32"/>
        </w:rPr>
        <w:t>两高</w:t>
      </w:r>
      <w:r>
        <w:rPr>
          <w:rFonts w:hint="eastAsia" w:ascii="Times New Roman" w:hAnsi="Times New Roman"/>
          <w:szCs w:val="32"/>
        </w:rPr>
        <w:t>”</w:t>
      </w:r>
      <w:r>
        <w:rPr>
          <w:rFonts w:ascii="Times New Roman" w:hAnsi="Times New Roman"/>
          <w:szCs w:val="32"/>
        </w:rPr>
        <w:t>目标、发挥</w:t>
      </w:r>
      <w:r>
        <w:rPr>
          <w:rFonts w:hint="eastAsia" w:ascii="Times New Roman" w:hAnsi="Times New Roman"/>
          <w:szCs w:val="32"/>
        </w:rPr>
        <w:t>“</w:t>
      </w:r>
      <w:r>
        <w:rPr>
          <w:rFonts w:ascii="Times New Roman" w:hAnsi="Times New Roman"/>
          <w:szCs w:val="32"/>
        </w:rPr>
        <w:t>三个作用</w:t>
      </w:r>
      <w:r>
        <w:rPr>
          <w:rFonts w:hint="eastAsia" w:ascii="Times New Roman" w:hAnsi="Times New Roman"/>
          <w:szCs w:val="32"/>
        </w:rPr>
        <w:t>”</w:t>
      </w:r>
      <w:r>
        <w:rPr>
          <w:rFonts w:ascii="Times New Roman" w:hAnsi="Times New Roman"/>
          <w:szCs w:val="32"/>
        </w:rPr>
        <w:t>和营造良好政治生态的重要指示要求，按照县委</w:t>
      </w:r>
      <w:r>
        <w:rPr>
          <w:rFonts w:hint="eastAsia" w:ascii="Times New Roman" w:hAnsi="Times New Roman"/>
          <w:szCs w:val="32"/>
        </w:rPr>
        <w:t>“</w:t>
      </w:r>
      <w:r>
        <w:rPr>
          <w:rFonts w:ascii="Times New Roman" w:hAnsi="Times New Roman"/>
          <w:szCs w:val="32"/>
        </w:rPr>
        <w:t>3335</w:t>
      </w:r>
      <w:r>
        <w:rPr>
          <w:rFonts w:hint="eastAsia" w:ascii="Times New Roman" w:hAnsi="Times New Roman"/>
          <w:szCs w:val="32"/>
        </w:rPr>
        <w:t>”</w:t>
      </w:r>
      <w:r>
        <w:rPr>
          <w:rFonts w:ascii="Times New Roman" w:hAnsi="Times New Roman"/>
          <w:szCs w:val="32"/>
        </w:rPr>
        <w:t>发展战略，紧扣</w:t>
      </w:r>
      <w:r>
        <w:rPr>
          <w:rFonts w:hint="eastAsia" w:ascii="Times New Roman" w:hAnsi="Times New Roman"/>
          <w:szCs w:val="32"/>
        </w:rPr>
        <w:t>“</w:t>
      </w:r>
      <w:r>
        <w:rPr>
          <w:rFonts w:ascii="Times New Roman" w:hAnsi="Times New Roman"/>
          <w:szCs w:val="32"/>
        </w:rPr>
        <w:t>建设现代化美丽丰都</w:t>
      </w:r>
      <w:r>
        <w:rPr>
          <w:rFonts w:hint="eastAsia" w:ascii="Times New Roman" w:hAnsi="Times New Roman"/>
          <w:szCs w:val="32"/>
        </w:rPr>
        <w:t>”</w:t>
      </w:r>
      <w:r>
        <w:rPr>
          <w:rFonts w:ascii="Times New Roman" w:hAnsi="Times New Roman"/>
          <w:szCs w:val="32"/>
        </w:rPr>
        <w:t>的发展目标，对标对表乡村振兴战略，坚持以人民为中心，坚持新发展理念，坚持深化供给侧结构性改革，坚持高质量发展，积极融入成渝地区双城经济圈建设战略和全市</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协调发展格局，发挥</w:t>
      </w:r>
      <w:r>
        <w:rPr>
          <w:rFonts w:hint="eastAsia" w:ascii="Times New Roman" w:hAnsi="Times New Roman"/>
          <w:szCs w:val="32"/>
        </w:rPr>
        <w:t>“</w:t>
      </w:r>
      <w:r>
        <w:rPr>
          <w:rFonts w:ascii="Times New Roman" w:hAnsi="Times New Roman"/>
          <w:szCs w:val="32"/>
        </w:rPr>
        <w:t>山水丰茂、物产丰盛、人文丰厚</w:t>
      </w:r>
      <w:r>
        <w:rPr>
          <w:rFonts w:hint="eastAsia" w:ascii="Times New Roman" w:hAnsi="Times New Roman"/>
          <w:szCs w:val="32"/>
        </w:rPr>
        <w:t>”</w:t>
      </w:r>
      <w:r>
        <w:rPr>
          <w:rFonts w:ascii="Times New Roman" w:hAnsi="Times New Roman"/>
          <w:szCs w:val="32"/>
        </w:rPr>
        <w:t>优势，充分发挥交通</w:t>
      </w:r>
      <w:r>
        <w:rPr>
          <w:rFonts w:hint="eastAsia" w:ascii="Times New Roman" w:hAnsi="Times New Roman"/>
          <w:szCs w:val="32"/>
        </w:rPr>
        <w:t>“</w:t>
      </w:r>
      <w:r>
        <w:rPr>
          <w:rFonts w:ascii="Times New Roman" w:hAnsi="Times New Roman"/>
          <w:szCs w:val="32"/>
        </w:rPr>
        <w:t>开路先锋</w:t>
      </w:r>
      <w:r>
        <w:rPr>
          <w:rFonts w:hint="eastAsia" w:ascii="Times New Roman" w:hAnsi="Times New Roman"/>
          <w:szCs w:val="32"/>
        </w:rPr>
        <w:t>”</w:t>
      </w:r>
      <w:r>
        <w:rPr>
          <w:rFonts w:ascii="Times New Roman" w:hAnsi="Times New Roman"/>
          <w:szCs w:val="32"/>
        </w:rPr>
        <w:t>作用，以交通运输高质量发展为主题，以</w:t>
      </w:r>
      <w:r>
        <w:rPr>
          <w:rFonts w:hint="eastAsia" w:ascii="Times New Roman" w:hAnsi="Times New Roman"/>
          <w:szCs w:val="32"/>
        </w:rPr>
        <w:t>“</w:t>
      </w:r>
      <w:r>
        <w:rPr>
          <w:rFonts w:ascii="Times New Roman" w:hAnsi="Times New Roman"/>
          <w:szCs w:val="32"/>
        </w:rPr>
        <w:t>生态优先、绿色发展</w:t>
      </w:r>
      <w:r>
        <w:rPr>
          <w:rFonts w:hint="eastAsia" w:ascii="Times New Roman" w:hAnsi="Times New Roman"/>
          <w:szCs w:val="32"/>
        </w:rPr>
        <w:t>”</w:t>
      </w:r>
      <w:r>
        <w:rPr>
          <w:rFonts w:ascii="Times New Roman" w:hAnsi="Times New Roman"/>
          <w:szCs w:val="32"/>
        </w:rPr>
        <w:t>为基本路径，以增进人民福祉和促进全面发展为根本目的，以</w:t>
      </w:r>
      <w:r>
        <w:rPr>
          <w:rFonts w:hint="eastAsia" w:ascii="Times New Roman" w:hAnsi="Times New Roman"/>
          <w:szCs w:val="32"/>
        </w:rPr>
        <w:t>“</w:t>
      </w:r>
      <w:r>
        <w:rPr>
          <w:rFonts w:ascii="Times New Roman" w:hAnsi="Times New Roman"/>
          <w:szCs w:val="32"/>
        </w:rPr>
        <w:t>让道路成风景、建设人民满意交通</w:t>
      </w:r>
      <w:r>
        <w:rPr>
          <w:rFonts w:hint="eastAsia" w:ascii="Times New Roman" w:hAnsi="Times New Roman"/>
          <w:szCs w:val="32"/>
        </w:rPr>
        <w:t>”</w:t>
      </w:r>
      <w:r>
        <w:rPr>
          <w:rFonts w:ascii="Times New Roman" w:hAnsi="Times New Roman"/>
          <w:szCs w:val="32"/>
        </w:rPr>
        <w:t>为奋斗目标，加快构建安全、便捷、高效、绿色、经济的现代化综合交通运输体系，加快交通强县建设，为建设重庆重要的交通枢纽打下坚实基础，切实发挥好交通运输支撑服务和先行引领作用。</w:t>
      </w:r>
    </w:p>
    <w:p w14:paraId="58C3965C">
      <w:pPr>
        <w:pStyle w:val="4"/>
        <w:keepNext w:val="0"/>
        <w:keepLines w:val="0"/>
        <w:widowControl w:val="0"/>
        <w:spacing w:beforeLines="0" w:afterLines="0"/>
        <w:ind w:firstLine="640"/>
        <w:rPr>
          <w:rFonts w:eastAsia="方正黑体_GBK"/>
          <w:b w:val="0"/>
          <w:bCs w:val="0"/>
          <w:kern w:val="28"/>
        </w:rPr>
      </w:pPr>
      <w:bookmarkStart w:id="80" w:name="_Toc30112"/>
      <w:r>
        <w:rPr>
          <w:rFonts w:eastAsia="方正黑体_GBK"/>
          <w:b w:val="0"/>
          <w:bCs w:val="0"/>
          <w:kern w:val="28"/>
        </w:rPr>
        <w:t>二、基本原则</w:t>
      </w:r>
      <w:bookmarkEnd w:id="80"/>
    </w:p>
    <w:p w14:paraId="080F6CC0">
      <w:pPr>
        <w:spacing w:line="600" w:lineRule="exact"/>
        <w:ind w:firstLine="640" w:firstLineChars="200"/>
        <w:rPr>
          <w:rFonts w:ascii="Times New Roman" w:hAnsi="Times New Roman"/>
          <w:szCs w:val="32"/>
        </w:rPr>
      </w:pPr>
      <w:r>
        <w:rPr>
          <w:rFonts w:ascii="Times New Roman" w:hAnsi="Times New Roman" w:eastAsia="方正楷体_GBK"/>
          <w:szCs w:val="32"/>
        </w:rPr>
        <w:t>（一）立足一域，着眼全局</w:t>
      </w:r>
      <w:r>
        <w:rPr>
          <w:rFonts w:ascii="Times New Roman" w:hAnsi="Times New Roman"/>
          <w:szCs w:val="32"/>
        </w:rPr>
        <w:t>。坚持从全局谋划一域、以一域服务全局，紧扣</w:t>
      </w:r>
      <w:r>
        <w:rPr>
          <w:rFonts w:hint="eastAsia" w:ascii="Times New Roman" w:hAnsi="Times New Roman"/>
          <w:szCs w:val="32"/>
          <w:lang w:eastAsia="zh-CN"/>
        </w:rPr>
        <w:t>“一带一路”</w:t>
      </w:r>
      <w:r>
        <w:rPr>
          <w:rFonts w:ascii="Times New Roman" w:hAnsi="Times New Roman"/>
          <w:szCs w:val="32"/>
        </w:rPr>
        <w:t>和长江经济带、成渝地区双城经济圈、一区两群等重大战略，加快构建</w:t>
      </w:r>
      <w:r>
        <w:rPr>
          <w:rFonts w:hint="eastAsia" w:ascii="Times New Roman" w:hAnsi="Times New Roman"/>
          <w:szCs w:val="32"/>
        </w:rPr>
        <w:t>“</w:t>
      </w:r>
      <w:r>
        <w:rPr>
          <w:rFonts w:ascii="Times New Roman" w:hAnsi="Times New Roman"/>
          <w:szCs w:val="32"/>
        </w:rPr>
        <w:t>大进大出、快进快出</w:t>
      </w:r>
      <w:r>
        <w:rPr>
          <w:rFonts w:hint="eastAsia" w:ascii="Times New Roman" w:hAnsi="Times New Roman"/>
          <w:szCs w:val="32"/>
        </w:rPr>
        <w:t>”</w:t>
      </w:r>
      <w:r>
        <w:rPr>
          <w:rFonts w:ascii="Times New Roman" w:hAnsi="Times New Roman"/>
          <w:szCs w:val="32"/>
        </w:rPr>
        <w:t>的对外综合运输通道，打造区域间、城乡间不同空间尺度高效衔接的多层次综合交通网，推动交通与城镇、旅游、产业等深度融合，实现区域交通一体化发展，推动形成区域协调发展新格局。</w:t>
      </w:r>
    </w:p>
    <w:p w14:paraId="49DF0760">
      <w:pPr>
        <w:spacing w:line="600" w:lineRule="exact"/>
        <w:rPr>
          <w:rFonts w:ascii="Times New Roman" w:hAnsi="Times New Roman"/>
          <w:szCs w:val="32"/>
        </w:rPr>
      </w:pPr>
      <w:r>
        <w:rPr>
          <w:rFonts w:ascii="Times New Roman" w:hAnsi="Times New Roman"/>
          <w:szCs w:val="32"/>
        </w:rPr>
        <w:t>以人为本，服务升级。牢牢把握交通运输的服务属性，坚持</w:t>
      </w:r>
      <w:r>
        <w:rPr>
          <w:rFonts w:hint="eastAsia" w:ascii="Times New Roman" w:hAnsi="Times New Roman"/>
          <w:szCs w:val="32"/>
          <w:lang w:eastAsia="zh-CN"/>
        </w:rPr>
        <w:t>以人民为中心的发展思想</w:t>
      </w:r>
      <w:r>
        <w:rPr>
          <w:rFonts w:ascii="Times New Roman" w:hAnsi="Times New Roman"/>
          <w:szCs w:val="32"/>
        </w:rPr>
        <w:t>，提供品质更优、效率更高、安全可靠的客货运输服务，增强人民群众出行获得感、幸福感、安全感。充分发挥市场在资源配置中的决定性作用，深化交通运输重点领域和关键环节改革，有序推进行业治理体系和治理能力现代化，努力提供更加规范、更有效率的行业管理服务。</w:t>
      </w:r>
    </w:p>
    <w:p w14:paraId="60A305BA">
      <w:pPr>
        <w:spacing w:line="600" w:lineRule="exact"/>
        <w:ind w:firstLine="640" w:firstLineChars="200"/>
        <w:rPr>
          <w:rFonts w:ascii="Times New Roman" w:hAnsi="Times New Roman"/>
          <w:szCs w:val="32"/>
        </w:rPr>
      </w:pPr>
      <w:r>
        <w:rPr>
          <w:rFonts w:ascii="Times New Roman" w:hAnsi="Times New Roman" w:eastAsia="方正楷体_GBK"/>
          <w:szCs w:val="32"/>
        </w:rPr>
        <w:t>（二）生态优先，绿色发展</w:t>
      </w:r>
      <w:r>
        <w:rPr>
          <w:rFonts w:ascii="Times New Roman" w:hAnsi="Times New Roman"/>
          <w:szCs w:val="32"/>
        </w:rPr>
        <w:t>。紧扣山清水秀美丽之地目标，坚定践行绿水青山就是金山银山理念，大力发展绿色交通、智慧交通，优化交通运输结构、发展方式，集约利用资源，加强生态保护，防治交通污染，实现交通畅与生态美的统一，促进人与自然和谐共生。</w:t>
      </w:r>
    </w:p>
    <w:p w14:paraId="63AAE6E1">
      <w:pPr>
        <w:spacing w:line="600" w:lineRule="exact"/>
        <w:ind w:firstLine="640" w:firstLineChars="200"/>
        <w:rPr>
          <w:rFonts w:ascii="Times New Roman" w:hAnsi="Times New Roman"/>
          <w:szCs w:val="32"/>
        </w:rPr>
      </w:pPr>
      <w:r>
        <w:rPr>
          <w:rFonts w:ascii="Times New Roman" w:hAnsi="Times New Roman" w:eastAsia="方正楷体_GBK"/>
          <w:szCs w:val="32"/>
        </w:rPr>
        <w:t>（三）协同建设，远近结合</w:t>
      </w:r>
      <w:r>
        <w:rPr>
          <w:rFonts w:ascii="Times New Roman" w:hAnsi="Times New Roman"/>
          <w:szCs w:val="32"/>
        </w:rPr>
        <w:t>。着眼长远，立足当前，统筹考虑规划项目的建设规模、建设时序，重点推进一批可操作、显效果的重大工程，推动丰都交通基础设施建设与川渝毗邻地区及周边区标准统一、步调一致，努力打通断头路、瓶颈路，全力提升交通互联互通水平。</w:t>
      </w:r>
    </w:p>
    <w:p w14:paraId="6B096EA5">
      <w:pPr>
        <w:pStyle w:val="4"/>
        <w:keepNext w:val="0"/>
        <w:keepLines w:val="0"/>
        <w:widowControl w:val="0"/>
        <w:spacing w:beforeLines="0" w:afterLines="0"/>
        <w:ind w:firstLine="640"/>
        <w:rPr>
          <w:rFonts w:eastAsia="方正黑体_GBK"/>
          <w:b w:val="0"/>
          <w:bCs w:val="0"/>
          <w:kern w:val="28"/>
        </w:rPr>
      </w:pPr>
      <w:bookmarkStart w:id="81" w:name="_Toc22228"/>
      <w:r>
        <w:rPr>
          <w:rFonts w:eastAsia="方正黑体_GBK"/>
          <w:b w:val="0"/>
          <w:bCs w:val="0"/>
          <w:kern w:val="28"/>
        </w:rPr>
        <w:t>三、发展目标</w:t>
      </w:r>
      <w:bookmarkEnd w:id="81"/>
    </w:p>
    <w:p w14:paraId="165B9A48">
      <w:pPr>
        <w:pStyle w:val="5"/>
        <w:keepNext w:val="0"/>
        <w:keepLines w:val="0"/>
        <w:spacing w:line="600" w:lineRule="exact"/>
        <w:ind w:firstLine="640" w:firstLineChars="200"/>
        <w:rPr>
          <w:b w:val="0"/>
          <w:bCs w:val="0"/>
        </w:rPr>
      </w:pPr>
      <w:bookmarkStart w:id="82" w:name="_Toc6490"/>
      <w:bookmarkStart w:id="83" w:name="_Toc78728250"/>
      <w:bookmarkStart w:id="84" w:name="_Toc84870264"/>
      <w:bookmarkStart w:id="85" w:name="_Toc13759"/>
      <w:r>
        <w:rPr>
          <w:b w:val="0"/>
          <w:bCs w:val="0"/>
        </w:rPr>
        <w:t>（一）总体目标</w:t>
      </w:r>
      <w:bookmarkEnd w:id="82"/>
      <w:bookmarkEnd w:id="83"/>
      <w:bookmarkEnd w:id="84"/>
      <w:bookmarkEnd w:id="85"/>
    </w:p>
    <w:p w14:paraId="2B8AF03C">
      <w:pPr>
        <w:spacing w:line="600" w:lineRule="exact"/>
        <w:ind w:firstLine="640"/>
        <w:rPr>
          <w:rFonts w:ascii="Times New Roman" w:hAnsi="Times New Roman"/>
          <w:szCs w:val="32"/>
        </w:rPr>
      </w:pPr>
      <w:r>
        <w:rPr>
          <w:rFonts w:ascii="Times New Roman" w:hAnsi="Times New Roman"/>
          <w:szCs w:val="32"/>
        </w:rPr>
        <w:t>利用</w:t>
      </w:r>
      <w:r>
        <w:rPr>
          <w:rFonts w:hint="eastAsia" w:ascii="Times New Roman" w:hAnsi="Times New Roman"/>
          <w:szCs w:val="32"/>
        </w:rPr>
        <w:t>“</w:t>
      </w:r>
      <w:r>
        <w:rPr>
          <w:rFonts w:ascii="Times New Roman" w:hAnsi="Times New Roman"/>
          <w:szCs w:val="32"/>
        </w:rPr>
        <w:t>紧邻重庆都市圈、立足沿江城市带</w:t>
      </w:r>
      <w:r>
        <w:rPr>
          <w:rFonts w:hint="eastAsia" w:ascii="Times New Roman" w:hAnsi="Times New Roman"/>
          <w:szCs w:val="32"/>
        </w:rPr>
        <w:t>”</w:t>
      </w:r>
      <w:r>
        <w:rPr>
          <w:rFonts w:ascii="Times New Roman" w:hAnsi="Times New Roman"/>
          <w:szCs w:val="32"/>
        </w:rPr>
        <w:t>地域优势，充分发挥区位嬗变效应和沿江通道作用，承接一区、联动两群协同发展。畅通进出丰都大通道、完善区域交通网络体系、健全交通物流枢纽设施体系，构建安全、便捷、高效、绿色、经济的现代化综合运输体系，推动交通高质量发展，加快交通强县建设。到</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末，基本建成</w:t>
      </w:r>
      <w:r>
        <w:rPr>
          <w:rFonts w:hint="eastAsia" w:ascii="Times New Roman" w:hAnsi="Times New Roman"/>
          <w:szCs w:val="32"/>
        </w:rPr>
        <w:t>“</w:t>
      </w:r>
      <w:r>
        <w:rPr>
          <w:rFonts w:ascii="Times New Roman" w:hAnsi="Times New Roman"/>
          <w:szCs w:val="32"/>
        </w:rPr>
        <w:t>一通道一枢纽一中心一基地</w:t>
      </w:r>
      <w:r>
        <w:rPr>
          <w:rFonts w:hint="eastAsia" w:ascii="Times New Roman" w:hAnsi="Times New Roman"/>
          <w:szCs w:val="32"/>
        </w:rPr>
        <w:t>”</w:t>
      </w:r>
      <w:r>
        <w:rPr>
          <w:rFonts w:ascii="Times New Roman" w:hAnsi="Times New Roman"/>
          <w:szCs w:val="32"/>
        </w:rPr>
        <w:t>，即成渝地区双城经济</w:t>
      </w:r>
      <w:r>
        <w:rPr>
          <w:rFonts w:hint="eastAsia" w:ascii="Times New Roman" w:hAnsi="Times New Roman"/>
          <w:szCs w:val="32"/>
        </w:rPr>
        <w:t>圈</w:t>
      </w:r>
      <w:r>
        <w:rPr>
          <w:rFonts w:ascii="Times New Roman" w:hAnsi="Times New Roman"/>
          <w:szCs w:val="32"/>
        </w:rPr>
        <w:t>沿江的重要通道、重庆重要的交通枢纽、连接</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的多式联运集散中心、江海直达物流基地。实现</w:t>
      </w:r>
      <w:r>
        <w:rPr>
          <w:rFonts w:hint="eastAsia" w:ascii="Times New Roman" w:hAnsi="Times New Roman"/>
          <w:szCs w:val="32"/>
        </w:rPr>
        <w:t>“</w:t>
      </w:r>
      <w:r>
        <w:rPr>
          <w:rFonts w:ascii="Times New Roman" w:hAnsi="Times New Roman"/>
          <w:szCs w:val="32"/>
        </w:rPr>
        <w:t>半小时重庆、2小时成都、5小时上海</w:t>
      </w:r>
      <w:r>
        <w:rPr>
          <w:rFonts w:hint="eastAsia" w:ascii="Times New Roman" w:hAnsi="Times New Roman"/>
          <w:szCs w:val="32"/>
        </w:rPr>
        <w:t>”</w:t>
      </w:r>
      <w:r>
        <w:rPr>
          <w:rFonts w:ascii="Times New Roman" w:hAnsi="Times New Roman"/>
          <w:szCs w:val="32"/>
        </w:rPr>
        <w:t>的交通出行目标。即丰都至主城实现半小时通达，丰都至成都实现2小时通达，丰都至上海实现5小时通达。</w:t>
      </w:r>
    </w:p>
    <w:p w14:paraId="22E5F702">
      <w:pPr>
        <w:pStyle w:val="5"/>
        <w:keepNext w:val="0"/>
        <w:keepLines w:val="0"/>
        <w:spacing w:line="600" w:lineRule="exact"/>
        <w:ind w:firstLine="640" w:firstLineChars="200"/>
        <w:rPr>
          <w:b w:val="0"/>
          <w:bCs w:val="0"/>
        </w:rPr>
      </w:pPr>
      <w:bookmarkStart w:id="86" w:name="_Toc78728251"/>
      <w:bookmarkStart w:id="87" w:name="_Toc20049"/>
      <w:bookmarkStart w:id="88" w:name="_Toc12755"/>
      <w:bookmarkStart w:id="89" w:name="_Toc84870265"/>
      <w:r>
        <w:rPr>
          <w:b w:val="0"/>
          <w:bCs w:val="0"/>
        </w:rPr>
        <w:t>（二）具体目标</w:t>
      </w:r>
      <w:bookmarkEnd w:id="86"/>
      <w:bookmarkEnd w:id="87"/>
      <w:bookmarkEnd w:id="88"/>
      <w:bookmarkEnd w:id="89"/>
    </w:p>
    <w:p w14:paraId="32732E98">
      <w:pPr>
        <w:spacing w:line="600" w:lineRule="exact"/>
        <w:ind w:firstLine="640" w:firstLineChars="200"/>
        <w:rPr>
          <w:rFonts w:ascii="Times New Roman" w:hAnsi="Times New Roman"/>
          <w:szCs w:val="32"/>
        </w:rPr>
      </w:pPr>
      <w:r>
        <w:rPr>
          <w:rFonts w:ascii="Times New Roman" w:hAnsi="Times New Roman"/>
          <w:szCs w:val="32"/>
        </w:rPr>
        <w:t>1. 方式齐备。到</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末，力争实现350公里时速高铁</w:t>
      </w:r>
      <w:r>
        <w:rPr>
          <w:rFonts w:hint="eastAsia" w:ascii="Times New Roman" w:hAnsi="Times New Roman"/>
          <w:szCs w:val="32"/>
        </w:rPr>
        <w:t>“</w:t>
      </w:r>
      <w:r>
        <w:rPr>
          <w:rFonts w:hint="eastAsia" w:ascii="Times New Roman" w:hAnsi="Times New Roman"/>
          <w:szCs w:val="32"/>
          <w:lang w:eastAsia="zh-CN"/>
        </w:rPr>
        <w:t>零的突破</w:t>
      </w:r>
      <w:r>
        <w:rPr>
          <w:rFonts w:hint="eastAsia" w:ascii="Times New Roman" w:hAnsi="Times New Roman"/>
          <w:szCs w:val="32"/>
        </w:rPr>
        <w:t>”</w:t>
      </w:r>
      <w:r>
        <w:rPr>
          <w:rFonts w:ascii="Times New Roman" w:hAnsi="Times New Roman"/>
          <w:szCs w:val="32"/>
        </w:rPr>
        <w:t>，铁路通车里程达到98公里，铁路在建里程达到55公里。高速公路在建里程达到126公里，升级改造国省道92公里（储备项目218公里）、高速公路及重要连接线46公里，重要县乡道209公里（储备项目107公里），改建农村公路400公里（储备双车道项目200公里），港口码头4个（储备港口码头5个），力争开工建设1个通用机场，建设一批综合客运枢纽、物流枢纽、公交站场、改造乡镇农村客货服务站。</w:t>
      </w:r>
    </w:p>
    <w:p w14:paraId="4A22D027">
      <w:pPr>
        <w:spacing w:line="600" w:lineRule="exact"/>
        <w:ind w:firstLine="640" w:firstLineChars="200"/>
        <w:rPr>
          <w:rFonts w:ascii="Times New Roman" w:hAnsi="Times New Roman"/>
          <w:szCs w:val="32"/>
        </w:rPr>
      </w:pPr>
      <w:r>
        <w:rPr>
          <w:rFonts w:ascii="Times New Roman" w:hAnsi="Times New Roman"/>
          <w:szCs w:val="32"/>
        </w:rPr>
        <w:t>2. 衔接高效。综合客运枢纽内交通方式间，旅客平均换乘距离≦500米。多式联运无缝衔接，进港、进站铁路、公路集疏运体系更加完善。农村乡镇综合服务站乡镇覆盖率100%，城市干道实现高等级公路100%连接。高速公路互通、综合客运枢纽、物流园区和重要港区连接线实现100%二级及以上公路连接。</w:t>
      </w:r>
    </w:p>
    <w:p w14:paraId="0D0CBF19">
      <w:pPr>
        <w:spacing w:line="600" w:lineRule="exact"/>
        <w:ind w:firstLine="640" w:firstLineChars="200"/>
        <w:rPr>
          <w:rFonts w:ascii="Times New Roman" w:hAnsi="Times New Roman"/>
          <w:szCs w:val="32"/>
        </w:rPr>
      </w:pPr>
      <w:r>
        <w:rPr>
          <w:rFonts w:ascii="Times New Roman" w:hAnsi="Times New Roman"/>
          <w:szCs w:val="32"/>
        </w:rPr>
        <w:t>3. 便捷舒适。客运方面，持续推进</w:t>
      </w:r>
      <w:r>
        <w:rPr>
          <w:rFonts w:hint="eastAsia" w:ascii="Times New Roman" w:hAnsi="Times New Roman"/>
          <w:szCs w:val="32"/>
        </w:rPr>
        <w:t>“</w:t>
      </w:r>
      <w:r>
        <w:rPr>
          <w:rFonts w:ascii="Times New Roman" w:hAnsi="Times New Roman"/>
          <w:szCs w:val="32"/>
        </w:rPr>
        <w:t>公交都市</w:t>
      </w:r>
      <w:r>
        <w:rPr>
          <w:rFonts w:hint="eastAsia" w:ascii="Times New Roman" w:hAnsi="Times New Roman"/>
          <w:szCs w:val="32"/>
        </w:rPr>
        <w:t>”</w:t>
      </w:r>
      <w:r>
        <w:rPr>
          <w:rFonts w:ascii="Times New Roman" w:hAnsi="Times New Roman"/>
          <w:szCs w:val="32"/>
        </w:rPr>
        <w:t>建设，公交车站点500米半径覆盖率100%，公交车进场率达到60%，4A级及以上景区实现100%二级及以上公路连接，新开行5</w:t>
      </w:r>
      <w:r>
        <w:rPr>
          <w:rFonts w:hint="eastAsia" w:ascii="Times New Roman" w:hAnsi="Times New Roman"/>
          <w:szCs w:val="32"/>
        </w:rPr>
        <w:t>-</w:t>
      </w:r>
      <w:r>
        <w:rPr>
          <w:rFonts w:ascii="Times New Roman" w:hAnsi="Times New Roman"/>
          <w:szCs w:val="32"/>
        </w:rPr>
        <w:t>10条旅游专线。货运方面，大力发展多式联运，运输结构调整成效明显，水运货运量、铁路货运量增长速度分别超过16%。行政村通邮率达到100%。</w:t>
      </w:r>
    </w:p>
    <w:p w14:paraId="7F38AE02">
      <w:pPr>
        <w:spacing w:line="600" w:lineRule="exact"/>
        <w:ind w:firstLine="640" w:firstLineChars="200"/>
        <w:rPr>
          <w:rFonts w:ascii="Times New Roman" w:hAnsi="Times New Roman"/>
          <w:szCs w:val="32"/>
        </w:rPr>
      </w:pPr>
      <w:r>
        <w:rPr>
          <w:rFonts w:ascii="Times New Roman" w:hAnsi="Times New Roman"/>
          <w:szCs w:val="32"/>
        </w:rPr>
        <w:t>4. 安全可靠。普通省道三级及以上达到80%以上。公路特长隧道、特大桥梁动态监测覆盖率达到100%，高速公路、普通干线公路应急救援响应时间不超过1小时。城市公共交通与</w:t>
      </w:r>
      <w:r>
        <w:rPr>
          <w:rFonts w:hint="eastAsia" w:ascii="Times New Roman" w:hAnsi="Times New Roman"/>
          <w:szCs w:val="32"/>
        </w:rPr>
        <w:t>“</w:t>
      </w:r>
      <w:r>
        <w:rPr>
          <w:rFonts w:ascii="Times New Roman" w:hAnsi="Times New Roman"/>
          <w:szCs w:val="32"/>
        </w:rPr>
        <w:t>两客一危</w:t>
      </w:r>
      <w:r>
        <w:rPr>
          <w:rFonts w:hint="eastAsia" w:ascii="Times New Roman" w:hAnsi="Times New Roman"/>
          <w:szCs w:val="32"/>
        </w:rPr>
        <w:t>”</w:t>
      </w:r>
      <w:r>
        <w:rPr>
          <w:rFonts w:ascii="Times New Roman" w:hAnsi="Times New Roman"/>
          <w:szCs w:val="32"/>
        </w:rPr>
        <w:t>车辆、12吨以上普通货车GPS或北斗安装率100%。</w:t>
      </w:r>
    </w:p>
    <w:p w14:paraId="01ABB195">
      <w:pPr>
        <w:spacing w:line="600" w:lineRule="exact"/>
        <w:ind w:firstLine="640" w:firstLineChars="200"/>
        <w:rPr>
          <w:rFonts w:ascii="Times New Roman" w:hAnsi="Times New Roman"/>
          <w:szCs w:val="32"/>
        </w:rPr>
      </w:pPr>
      <w:r>
        <w:rPr>
          <w:rFonts w:ascii="Times New Roman" w:hAnsi="Times New Roman"/>
          <w:szCs w:val="32"/>
        </w:rPr>
        <w:t>5. 智慧绿色。建成综合交通大数据服务和管理平台，普通国省道、县乡道、农村公路项目100%实现平台监管，枢纽站场视频监测覆盖率、重点运输车辆监测覆盖率达到100%。加快淘汰高污染、高耗能、技术落后、老旧的交通装备和设施，鼓励营运车船标准化、大型化、专业化发展，推广应用新能源和清洁能源汽车和船舶，以及靠港船舶使用岸电等新技术，营运车船单位周转量二氧化碳下降率达到4%，城市纯电动公交车辆占比达到100%。</w:t>
      </w:r>
    </w:p>
    <w:p w14:paraId="191ED538">
      <w:pPr>
        <w:spacing w:line="600" w:lineRule="exact"/>
        <w:ind w:firstLine="482"/>
        <w:jc w:val="center"/>
        <w:rPr>
          <w:rFonts w:ascii="Times New Roman" w:hAnsi="Times New Roman"/>
          <w:szCs w:val="32"/>
        </w:rPr>
      </w:pPr>
      <w:r>
        <w:rPr>
          <w:rFonts w:ascii="Times New Roman" w:hAnsi="Times New Roman"/>
          <w:szCs w:val="32"/>
        </w:rPr>
        <w:t>表3</w:t>
      </w:r>
      <w:r>
        <w:rPr>
          <w:rFonts w:hint="eastAsia" w:ascii="Times New Roman" w:hAnsi="Times New Roman"/>
          <w:szCs w:val="32"/>
        </w:rPr>
        <w:t>-</w:t>
      </w:r>
      <w:r>
        <w:rPr>
          <w:rFonts w:ascii="Times New Roman" w:hAnsi="Times New Roman"/>
          <w:szCs w:val="32"/>
        </w:rPr>
        <w:t>1 丰都</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综合交通运输规划主要指标表</w:t>
      </w:r>
    </w:p>
    <w:tbl>
      <w:tblPr>
        <w:tblStyle w:val="13"/>
        <w:tblW w:w="830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34"/>
        <w:gridCol w:w="4477"/>
        <w:gridCol w:w="1095"/>
        <w:gridCol w:w="1075"/>
        <w:gridCol w:w="925"/>
      </w:tblGrid>
      <w:tr w14:paraId="1D772A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tblHeader/>
          <w:jc w:val="center"/>
        </w:trPr>
        <w:tc>
          <w:tcPr>
            <w:tcW w:w="734" w:type="dxa"/>
            <w:tcMar>
              <w:top w:w="15" w:type="dxa"/>
              <w:left w:w="15" w:type="dxa"/>
              <w:bottom w:w="0" w:type="dxa"/>
              <w:right w:w="15" w:type="dxa"/>
            </w:tcMar>
            <w:vAlign w:val="center"/>
          </w:tcPr>
          <w:p w14:paraId="32EAA1F2">
            <w:pPr>
              <w:spacing w:line="400" w:lineRule="exact"/>
              <w:jc w:val="center"/>
              <w:rPr>
                <w:rFonts w:ascii="Times New Roman" w:hAnsi="Times New Roman"/>
                <w:sz w:val="28"/>
                <w:szCs w:val="28"/>
              </w:rPr>
            </w:pPr>
            <w:r>
              <w:rPr>
                <w:rFonts w:ascii="Times New Roman" w:hAnsi="Times New Roman"/>
                <w:sz w:val="28"/>
                <w:szCs w:val="28"/>
              </w:rPr>
              <w:t>类型</w:t>
            </w:r>
          </w:p>
        </w:tc>
        <w:tc>
          <w:tcPr>
            <w:tcW w:w="4477" w:type="dxa"/>
            <w:tcMar>
              <w:top w:w="15" w:type="dxa"/>
              <w:left w:w="15" w:type="dxa"/>
              <w:bottom w:w="0" w:type="dxa"/>
              <w:right w:w="15" w:type="dxa"/>
            </w:tcMar>
            <w:vAlign w:val="center"/>
          </w:tcPr>
          <w:p w14:paraId="14A1DE4B">
            <w:pPr>
              <w:spacing w:line="400" w:lineRule="exact"/>
              <w:jc w:val="center"/>
              <w:rPr>
                <w:rFonts w:ascii="Times New Roman" w:hAnsi="Times New Roman"/>
                <w:sz w:val="28"/>
                <w:szCs w:val="28"/>
              </w:rPr>
            </w:pPr>
            <w:r>
              <w:rPr>
                <w:rFonts w:ascii="Times New Roman" w:hAnsi="Times New Roman"/>
                <w:sz w:val="28"/>
                <w:szCs w:val="28"/>
              </w:rPr>
              <w:t>指标</w:t>
            </w:r>
          </w:p>
        </w:tc>
        <w:tc>
          <w:tcPr>
            <w:tcW w:w="1095" w:type="dxa"/>
            <w:tcMar>
              <w:top w:w="15" w:type="dxa"/>
              <w:left w:w="15" w:type="dxa"/>
              <w:bottom w:w="0" w:type="dxa"/>
              <w:right w:w="15" w:type="dxa"/>
            </w:tcMar>
            <w:vAlign w:val="center"/>
          </w:tcPr>
          <w:p w14:paraId="7DCEEDE1">
            <w:pPr>
              <w:spacing w:line="400" w:lineRule="exact"/>
              <w:jc w:val="center"/>
              <w:rPr>
                <w:rFonts w:ascii="Times New Roman" w:hAnsi="Times New Roman"/>
                <w:sz w:val="28"/>
                <w:szCs w:val="28"/>
              </w:rPr>
            </w:pPr>
            <w:r>
              <w:rPr>
                <w:rFonts w:ascii="Times New Roman" w:hAnsi="Times New Roman"/>
                <w:sz w:val="28"/>
                <w:szCs w:val="28"/>
              </w:rPr>
              <w:t>2020年</w:t>
            </w:r>
          </w:p>
        </w:tc>
        <w:tc>
          <w:tcPr>
            <w:tcW w:w="1075" w:type="dxa"/>
            <w:tcMar>
              <w:top w:w="15" w:type="dxa"/>
              <w:left w:w="15" w:type="dxa"/>
              <w:bottom w:w="0" w:type="dxa"/>
              <w:right w:w="15" w:type="dxa"/>
            </w:tcMar>
            <w:vAlign w:val="center"/>
          </w:tcPr>
          <w:p w14:paraId="47161B38">
            <w:pPr>
              <w:spacing w:line="400" w:lineRule="exact"/>
              <w:jc w:val="center"/>
              <w:rPr>
                <w:rFonts w:ascii="Times New Roman" w:hAnsi="Times New Roman"/>
                <w:sz w:val="28"/>
                <w:szCs w:val="28"/>
              </w:rPr>
            </w:pPr>
            <w:r>
              <w:rPr>
                <w:rFonts w:ascii="Times New Roman" w:hAnsi="Times New Roman"/>
                <w:sz w:val="28"/>
                <w:szCs w:val="28"/>
              </w:rPr>
              <w:t>2025年</w:t>
            </w:r>
          </w:p>
        </w:tc>
        <w:tc>
          <w:tcPr>
            <w:tcW w:w="925" w:type="dxa"/>
          </w:tcPr>
          <w:p w14:paraId="6D078377">
            <w:pPr>
              <w:spacing w:line="400" w:lineRule="exact"/>
              <w:jc w:val="center"/>
              <w:rPr>
                <w:rFonts w:ascii="Times New Roman" w:hAnsi="Times New Roman"/>
                <w:sz w:val="28"/>
                <w:szCs w:val="28"/>
              </w:rPr>
            </w:pPr>
            <w:r>
              <w:rPr>
                <w:rFonts w:ascii="Times New Roman" w:hAnsi="Times New Roman"/>
                <w:sz w:val="28"/>
                <w:szCs w:val="28"/>
              </w:rPr>
              <w:t>备注</w:t>
            </w:r>
          </w:p>
        </w:tc>
      </w:tr>
      <w:tr w14:paraId="09B4F4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restart"/>
            <w:tcMar>
              <w:top w:w="15" w:type="dxa"/>
              <w:left w:w="15" w:type="dxa"/>
              <w:bottom w:w="0" w:type="dxa"/>
              <w:right w:w="15" w:type="dxa"/>
            </w:tcMar>
            <w:vAlign w:val="center"/>
          </w:tcPr>
          <w:p w14:paraId="126AB4A2">
            <w:pPr>
              <w:spacing w:line="400" w:lineRule="exact"/>
              <w:jc w:val="center"/>
              <w:rPr>
                <w:rFonts w:ascii="Times New Roman" w:hAnsi="Times New Roman"/>
                <w:sz w:val="28"/>
                <w:szCs w:val="28"/>
              </w:rPr>
            </w:pPr>
            <w:r>
              <w:rPr>
                <w:rFonts w:ascii="Times New Roman" w:hAnsi="Times New Roman"/>
                <w:sz w:val="28"/>
                <w:szCs w:val="28"/>
              </w:rPr>
              <w:t>方式</w:t>
            </w:r>
          </w:p>
          <w:p w14:paraId="6290D0DD">
            <w:pPr>
              <w:spacing w:line="400" w:lineRule="exact"/>
              <w:jc w:val="center"/>
              <w:rPr>
                <w:rFonts w:ascii="Times New Roman" w:hAnsi="Times New Roman"/>
                <w:sz w:val="28"/>
                <w:szCs w:val="28"/>
              </w:rPr>
            </w:pPr>
            <w:r>
              <w:rPr>
                <w:rFonts w:ascii="Times New Roman" w:hAnsi="Times New Roman"/>
                <w:sz w:val="28"/>
                <w:szCs w:val="28"/>
              </w:rPr>
              <w:t>齐备</w:t>
            </w:r>
          </w:p>
        </w:tc>
        <w:tc>
          <w:tcPr>
            <w:tcW w:w="4477" w:type="dxa"/>
            <w:tcMar>
              <w:top w:w="15" w:type="dxa"/>
              <w:left w:w="15" w:type="dxa"/>
              <w:bottom w:w="0" w:type="dxa"/>
              <w:right w:w="15" w:type="dxa"/>
            </w:tcMar>
            <w:vAlign w:val="center"/>
          </w:tcPr>
          <w:p w14:paraId="46FBC8DB">
            <w:pPr>
              <w:spacing w:line="400" w:lineRule="exact"/>
              <w:jc w:val="center"/>
              <w:rPr>
                <w:rFonts w:ascii="Times New Roman" w:hAnsi="Times New Roman"/>
                <w:sz w:val="28"/>
                <w:szCs w:val="28"/>
              </w:rPr>
            </w:pPr>
            <w:r>
              <w:rPr>
                <w:rFonts w:ascii="Times New Roman" w:hAnsi="Times New Roman"/>
                <w:sz w:val="28"/>
                <w:szCs w:val="28"/>
              </w:rPr>
              <w:t>铁路营业里程（公里）</w:t>
            </w:r>
          </w:p>
        </w:tc>
        <w:tc>
          <w:tcPr>
            <w:tcW w:w="1095" w:type="dxa"/>
            <w:tcMar>
              <w:top w:w="15" w:type="dxa"/>
              <w:left w:w="15" w:type="dxa"/>
              <w:bottom w:w="0" w:type="dxa"/>
              <w:right w:w="15" w:type="dxa"/>
            </w:tcMar>
            <w:vAlign w:val="center"/>
          </w:tcPr>
          <w:p w14:paraId="62F21F64">
            <w:pPr>
              <w:spacing w:line="400" w:lineRule="exact"/>
              <w:jc w:val="center"/>
              <w:rPr>
                <w:rFonts w:ascii="Times New Roman" w:hAnsi="Times New Roman"/>
                <w:sz w:val="28"/>
                <w:szCs w:val="28"/>
              </w:rPr>
            </w:pPr>
            <w:r>
              <w:rPr>
                <w:rFonts w:ascii="Times New Roman" w:hAnsi="Times New Roman"/>
                <w:sz w:val="28"/>
                <w:szCs w:val="28"/>
              </w:rPr>
              <w:t>48</w:t>
            </w:r>
          </w:p>
        </w:tc>
        <w:tc>
          <w:tcPr>
            <w:tcW w:w="1075" w:type="dxa"/>
            <w:tcMar>
              <w:top w:w="15" w:type="dxa"/>
              <w:left w:w="15" w:type="dxa"/>
              <w:bottom w:w="0" w:type="dxa"/>
              <w:right w:w="15" w:type="dxa"/>
            </w:tcMar>
            <w:vAlign w:val="center"/>
          </w:tcPr>
          <w:p w14:paraId="31419E0E">
            <w:pPr>
              <w:spacing w:line="400" w:lineRule="exact"/>
              <w:jc w:val="center"/>
              <w:rPr>
                <w:rFonts w:ascii="Times New Roman" w:hAnsi="Times New Roman"/>
                <w:sz w:val="28"/>
                <w:szCs w:val="28"/>
              </w:rPr>
            </w:pPr>
            <w:r>
              <w:rPr>
                <w:rFonts w:ascii="Times New Roman" w:hAnsi="Times New Roman"/>
                <w:sz w:val="28"/>
                <w:szCs w:val="28"/>
              </w:rPr>
              <w:t>98</w:t>
            </w:r>
          </w:p>
        </w:tc>
        <w:tc>
          <w:tcPr>
            <w:tcW w:w="925" w:type="dxa"/>
            <w:vAlign w:val="center"/>
          </w:tcPr>
          <w:p w14:paraId="60D81A08">
            <w:pPr>
              <w:spacing w:line="400" w:lineRule="exact"/>
              <w:jc w:val="center"/>
              <w:rPr>
                <w:rFonts w:ascii="Times New Roman" w:hAnsi="Times New Roman"/>
                <w:sz w:val="28"/>
                <w:szCs w:val="28"/>
              </w:rPr>
            </w:pPr>
            <w:r>
              <w:rPr>
                <w:rFonts w:ascii="Times New Roman" w:hAnsi="Times New Roman"/>
                <w:sz w:val="28"/>
                <w:szCs w:val="28"/>
              </w:rPr>
              <w:t>预期性</w:t>
            </w:r>
          </w:p>
        </w:tc>
      </w:tr>
      <w:tr w14:paraId="6B4AB7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362654F8">
            <w:pPr>
              <w:spacing w:line="400" w:lineRule="exact"/>
              <w:ind w:firstLine="480"/>
              <w:jc w:val="center"/>
              <w:rPr>
                <w:rFonts w:ascii="Times New Roman" w:hAnsi="Times New Roman"/>
                <w:sz w:val="28"/>
                <w:szCs w:val="28"/>
              </w:rPr>
            </w:pPr>
          </w:p>
        </w:tc>
        <w:tc>
          <w:tcPr>
            <w:tcW w:w="4477" w:type="dxa"/>
            <w:tcMar>
              <w:top w:w="15" w:type="dxa"/>
              <w:left w:w="15" w:type="dxa"/>
              <w:bottom w:w="0" w:type="dxa"/>
              <w:right w:w="15" w:type="dxa"/>
            </w:tcMar>
            <w:vAlign w:val="center"/>
          </w:tcPr>
          <w:p w14:paraId="1B3FF6FF">
            <w:pPr>
              <w:spacing w:line="400" w:lineRule="exact"/>
              <w:jc w:val="center"/>
              <w:rPr>
                <w:rFonts w:ascii="Times New Roman" w:hAnsi="Times New Roman"/>
                <w:sz w:val="28"/>
                <w:szCs w:val="28"/>
              </w:rPr>
            </w:pPr>
            <w:r>
              <w:rPr>
                <w:rFonts w:ascii="Times New Roman" w:hAnsi="Times New Roman"/>
                <w:sz w:val="28"/>
                <w:szCs w:val="28"/>
              </w:rPr>
              <w:t>高速铁路营业里程（公里）</w:t>
            </w:r>
          </w:p>
        </w:tc>
        <w:tc>
          <w:tcPr>
            <w:tcW w:w="1095" w:type="dxa"/>
            <w:tcMar>
              <w:top w:w="15" w:type="dxa"/>
              <w:left w:w="15" w:type="dxa"/>
              <w:bottom w:w="0" w:type="dxa"/>
              <w:right w:w="15" w:type="dxa"/>
            </w:tcMar>
            <w:vAlign w:val="center"/>
          </w:tcPr>
          <w:p w14:paraId="1CC17C63">
            <w:pPr>
              <w:spacing w:line="400" w:lineRule="exact"/>
              <w:jc w:val="center"/>
              <w:rPr>
                <w:rFonts w:ascii="Times New Roman" w:hAnsi="Times New Roman"/>
                <w:sz w:val="28"/>
                <w:szCs w:val="28"/>
              </w:rPr>
            </w:pPr>
            <w:r>
              <w:rPr>
                <w:rFonts w:ascii="Times New Roman" w:hAnsi="Times New Roman"/>
                <w:sz w:val="28"/>
                <w:szCs w:val="28"/>
              </w:rPr>
              <w:t>0</w:t>
            </w:r>
          </w:p>
        </w:tc>
        <w:tc>
          <w:tcPr>
            <w:tcW w:w="1075" w:type="dxa"/>
            <w:tcMar>
              <w:top w:w="15" w:type="dxa"/>
              <w:left w:w="15" w:type="dxa"/>
              <w:bottom w:w="0" w:type="dxa"/>
              <w:right w:w="15" w:type="dxa"/>
            </w:tcMar>
            <w:vAlign w:val="center"/>
          </w:tcPr>
          <w:p w14:paraId="51E54610">
            <w:pPr>
              <w:spacing w:line="400" w:lineRule="exact"/>
              <w:jc w:val="center"/>
              <w:rPr>
                <w:rFonts w:ascii="Times New Roman" w:hAnsi="Times New Roman"/>
                <w:sz w:val="28"/>
                <w:szCs w:val="28"/>
              </w:rPr>
            </w:pPr>
            <w:r>
              <w:rPr>
                <w:rFonts w:ascii="Times New Roman" w:hAnsi="Times New Roman"/>
                <w:sz w:val="28"/>
                <w:szCs w:val="28"/>
              </w:rPr>
              <w:t>50</w:t>
            </w:r>
          </w:p>
        </w:tc>
        <w:tc>
          <w:tcPr>
            <w:tcW w:w="925" w:type="dxa"/>
            <w:vAlign w:val="center"/>
          </w:tcPr>
          <w:p w14:paraId="7DFFA981">
            <w:pPr>
              <w:spacing w:line="400" w:lineRule="exact"/>
              <w:jc w:val="center"/>
              <w:rPr>
                <w:rFonts w:ascii="Times New Roman" w:hAnsi="Times New Roman"/>
                <w:sz w:val="28"/>
                <w:szCs w:val="28"/>
              </w:rPr>
            </w:pPr>
            <w:r>
              <w:rPr>
                <w:rFonts w:ascii="Times New Roman" w:hAnsi="Times New Roman"/>
                <w:sz w:val="28"/>
                <w:szCs w:val="28"/>
              </w:rPr>
              <w:t>预期性</w:t>
            </w:r>
          </w:p>
        </w:tc>
      </w:tr>
      <w:tr w14:paraId="1568C5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tcMar>
              <w:top w:w="15" w:type="dxa"/>
              <w:left w:w="15" w:type="dxa"/>
              <w:bottom w:w="0" w:type="dxa"/>
              <w:right w:w="15" w:type="dxa"/>
            </w:tcMar>
            <w:vAlign w:val="center"/>
          </w:tcPr>
          <w:p w14:paraId="79FFC757">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671A8F86">
            <w:pPr>
              <w:spacing w:line="400" w:lineRule="exact"/>
              <w:jc w:val="center"/>
              <w:rPr>
                <w:rFonts w:ascii="Times New Roman" w:hAnsi="Times New Roman"/>
                <w:sz w:val="28"/>
                <w:szCs w:val="28"/>
              </w:rPr>
            </w:pPr>
            <w:r>
              <w:rPr>
                <w:rFonts w:ascii="Times New Roman" w:hAnsi="Times New Roman"/>
                <w:sz w:val="28"/>
                <w:szCs w:val="28"/>
              </w:rPr>
              <w:t>高速公路在建里程（公里）</w:t>
            </w:r>
          </w:p>
        </w:tc>
        <w:tc>
          <w:tcPr>
            <w:tcW w:w="1095" w:type="dxa"/>
            <w:tcMar>
              <w:top w:w="15" w:type="dxa"/>
              <w:left w:w="15" w:type="dxa"/>
              <w:bottom w:w="0" w:type="dxa"/>
              <w:right w:w="15" w:type="dxa"/>
            </w:tcMar>
            <w:vAlign w:val="center"/>
          </w:tcPr>
          <w:p w14:paraId="4DA4D141">
            <w:pPr>
              <w:spacing w:line="400" w:lineRule="exact"/>
              <w:jc w:val="center"/>
              <w:rPr>
                <w:rFonts w:ascii="Times New Roman" w:hAnsi="Times New Roman"/>
                <w:sz w:val="28"/>
                <w:szCs w:val="28"/>
              </w:rPr>
            </w:pPr>
            <w:r>
              <w:rPr>
                <w:rFonts w:ascii="Times New Roman" w:hAnsi="Times New Roman"/>
                <w:sz w:val="28"/>
                <w:szCs w:val="28"/>
              </w:rPr>
              <w:t>0</w:t>
            </w:r>
          </w:p>
        </w:tc>
        <w:tc>
          <w:tcPr>
            <w:tcW w:w="1075" w:type="dxa"/>
            <w:tcMar>
              <w:top w:w="15" w:type="dxa"/>
              <w:left w:w="15" w:type="dxa"/>
              <w:bottom w:w="0" w:type="dxa"/>
              <w:right w:w="15" w:type="dxa"/>
            </w:tcMar>
            <w:vAlign w:val="center"/>
          </w:tcPr>
          <w:p w14:paraId="2AA068FE">
            <w:pPr>
              <w:spacing w:line="400" w:lineRule="exact"/>
              <w:jc w:val="center"/>
              <w:rPr>
                <w:rFonts w:ascii="Times New Roman" w:hAnsi="Times New Roman"/>
                <w:sz w:val="28"/>
                <w:szCs w:val="28"/>
              </w:rPr>
            </w:pPr>
            <w:r>
              <w:rPr>
                <w:rFonts w:ascii="Times New Roman" w:hAnsi="Times New Roman"/>
                <w:sz w:val="28"/>
                <w:szCs w:val="28"/>
              </w:rPr>
              <w:t>126</w:t>
            </w:r>
          </w:p>
        </w:tc>
        <w:tc>
          <w:tcPr>
            <w:tcW w:w="925" w:type="dxa"/>
            <w:vAlign w:val="center"/>
          </w:tcPr>
          <w:p w14:paraId="399DD1B5">
            <w:pPr>
              <w:spacing w:line="400" w:lineRule="exact"/>
              <w:jc w:val="center"/>
              <w:rPr>
                <w:rFonts w:ascii="Times New Roman" w:hAnsi="Times New Roman"/>
                <w:sz w:val="28"/>
                <w:szCs w:val="28"/>
              </w:rPr>
            </w:pPr>
            <w:r>
              <w:rPr>
                <w:rFonts w:ascii="Times New Roman" w:hAnsi="Times New Roman"/>
                <w:sz w:val="28"/>
                <w:szCs w:val="28"/>
              </w:rPr>
              <w:t>预期性</w:t>
            </w:r>
          </w:p>
        </w:tc>
      </w:tr>
      <w:tr w14:paraId="5F2D0F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5D8F5C47">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309C101D">
            <w:pPr>
              <w:spacing w:line="400" w:lineRule="exact"/>
              <w:jc w:val="center"/>
              <w:rPr>
                <w:rFonts w:ascii="Times New Roman" w:hAnsi="Times New Roman"/>
                <w:sz w:val="28"/>
                <w:szCs w:val="28"/>
              </w:rPr>
            </w:pPr>
            <w:r>
              <w:rPr>
                <w:rFonts w:ascii="Times New Roman" w:hAnsi="Times New Roman"/>
                <w:sz w:val="28"/>
                <w:szCs w:val="28"/>
              </w:rPr>
              <w:t>普通省道三级及以上占比(%)</w:t>
            </w:r>
          </w:p>
        </w:tc>
        <w:tc>
          <w:tcPr>
            <w:tcW w:w="1095" w:type="dxa"/>
            <w:tcMar>
              <w:top w:w="15" w:type="dxa"/>
              <w:left w:w="15" w:type="dxa"/>
              <w:bottom w:w="0" w:type="dxa"/>
              <w:right w:w="15" w:type="dxa"/>
            </w:tcMar>
            <w:vAlign w:val="center"/>
          </w:tcPr>
          <w:p w14:paraId="5E02A17D">
            <w:pPr>
              <w:spacing w:line="400" w:lineRule="exact"/>
              <w:jc w:val="center"/>
              <w:rPr>
                <w:rFonts w:ascii="Times New Roman" w:hAnsi="Times New Roman"/>
                <w:sz w:val="28"/>
                <w:szCs w:val="28"/>
              </w:rPr>
            </w:pPr>
            <w:r>
              <w:rPr>
                <w:rFonts w:ascii="Times New Roman" w:hAnsi="Times New Roman"/>
                <w:sz w:val="28"/>
                <w:szCs w:val="28"/>
              </w:rPr>
              <w:t>72.69</w:t>
            </w:r>
          </w:p>
        </w:tc>
        <w:tc>
          <w:tcPr>
            <w:tcW w:w="1075" w:type="dxa"/>
            <w:tcMar>
              <w:top w:w="15" w:type="dxa"/>
              <w:left w:w="15" w:type="dxa"/>
              <w:bottom w:w="0" w:type="dxa"/>
              <w:right w:w="15" w:type="dxa"/>
            </w:tcMar>
            <w:vAlign w:val="center"/>
          </w:tcPr>
          <w:p w14:paraId="137B00B8">
            <w:pPr>
              <w:spacing w:line="400" w:lineRule="exact"/>
              <w:jc w:val="center"/>
              <w:rPr>
                <w:rFonts w:ascii="Times New Roman" w:hAnsi="Times New Roman"/>
                <w:sz w:val="28"/>
                <w:szCs w:val="28"/>
              </w:rPr>
            </w:pPr>
            <w:r>
              <w:rPr>
                <w:rFonts w:ascii="Times New Roman" w:hAnsi="Times New Roman"/>
                <w:sz w:val="28"/>
                <w:szCs w:val="28"/>
              </w:rPr>
              <w:t>80</w:t>
            </w:r>
          </w:p>
        </w:tc>
        <w:tc>
          <w:tcPr>
            <w:tcW w:w="925" w:type="dxa"/>
            <w:vAlign w:val="center"/>
          </w:tcPr>
          <w:p w14:paraId="1EF11FDC">
            <w:pPr>
              <w:spacing w:line="400" w:lineRule="exact"/>
              <w:jc w:val="center"/>
              <w:rPr>
                <w:rFonts w:ascii="Times New Roman" w:hAnsi="Times New Roman"/>
                <w:sz w:val="28"/>
                <w:szCs w:val="28"/>
              </w:rPr>
            </w:pPr>
            <w:r>
              <w:rPr>
                <w:rFonts w:ascii="Times New Roman" w:hAnsi="Times New Roman"/>
                <w:sz w:val="28"/>
                <w:szCs w:val="28"/>
              </w:rPr>
              <w:t>预期性</w:t>
            </w:r>
          </w:p>
        </w:tc>
      </w:tr>
      <w:tr w14:paraId="031B5E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restart"/>
            <w:vAlign w:val="center"/>
          </w:tcPr>
          <w:p w14:paraId="29EAFB23">
            <w:pPr>
              <w:spacing w:line="400" w:lineRule="exact"/>
              <w:jc w:val="center"/>
              <w:rPr>
                <w:rFonts w:ascii="Times New Roman" w:hAnsi="Times New Roman"/>
                <w:sz w:val="28"/>
                <w:szCs w:val="28"/>
              </w:rPr>
            </w:pPr>
            <w:r>
              <w:rPr>
                <w:rFonts w:ascii="Times New Roman" w:hAnsi="Times New Roman"/>
                <w:sz w:val="28"/>
                <w:szCs w:val="28"/>
              </w:rPr>
              <w:t>衔接</w:t>
            </w:r>
          </w:p>
          <w:p w14:paraId="70C42467">
            <w:pPr>
              <w:spacing w:line="400" w:lineRule="exact"/>
              <w:jc w:val="center"/>
              <w:rPr>
                <w:rFonts w:ascii="Times New Roman" w:hAnsi="Times New Roman"/>
                <w:sz w:val="28"/>
                <w:szCs w:val="28"/>
              </w:rPr>
            </w:pPr>
            <w:r>
              <w:rPr>
                <w:rFonts w:ascii="Times New Roman" w:hAnsi="Times New Roman"/>
                <w:sz w:val="28"/>
                <w:szCs w:val="28"/>
              </w:rPr>
              <w:t>顺畅</w:t>
            </w:r>
          </w:p>
        </w:tc>
        <w:tc>
          <w:tcPr>
            <w:tcW w:w="4477" w:type="dxa"/>
            <w:tcMar>
              <w:top w:w="15" w:type="dxa"/>
              <w:left w:w="15" w:type="dxa"/>
              <w:bottom w:w="0" w:type="dxa"/>
              <w:right w:w="15" w:type="dxa"/>
            </w:tcMar>
            <w:vAlign w:val="center"/>
          </w:tcPr>
          <w:p w14:paraId="15867434">
            <w:pPr>
              <w:spacing w:line="400" w:lineRule="exact"/>
              <w:jc w:val="center"/>
              <w:rPr>
                <w:rFonts w:ascii="Times New Roman" w:hAnsi="Times New Roman"/>
                <w:sz w:val="28"/>
                <w:szCs w:val="28"/>
              </w:rPr>
            </w:pPr>
            <w:r>
              <w:rPr>
                <w:rFonts w:ascii="Times New Roman" w:hAnsi="Times New Roman"/>
                <w:sz w:val="28"/>
                <w:szCs w:val="28"/>
              </w:rPr>
              <w:t>综合客运枢纽内旅客平均换乘距离（米）</w:t>
            </w:r>
          </w:p>
        </w:tc>
        <w:tc>
          <w:tcPr>
            <w:tcW w:w="1095" w:type="dxa"/>
            <w:tcMar>
              <w:top w:w="15" w:type="dxa"/>
              <w:left w:w="15" w:type="dxa"/>
              <w:bottom w:w="0" w:type="dxa"/>
              <w:right w:w="15" w:type="dxa"/>
            </w:tcMar>
            <w:vAlign w:val="center"/>
          </w:tcPr>
          <w:p w14:paraId="7A8E451E">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54976CF1">
            <w:pPr>
              <w:spacing w:line="400" w:lineRule="exact"/>
              <w:jc w:val="center"/>
              <w:rPr>
                <w:rFonts w:ascii="Times New Roman" w:hAnsi="Times New Roman"/>
                <w:sz w:val="28"/>
                <w:szCs w:val="28"/>
              </w:rPr>
            </w:pPr>
            <w:r>
              <w:rPr>
                <w:rFonts w:ascii="Times New Roman" w:hAnsi="Times New Roman"/>
                <w:sz w:val="28"/>
                <w:szCs w:val="28"/>
              </w:rPr>
              <w:t>≦500</w:t>
            </w:r>
          </w:p>
        </w:tc>
        <w:tc>
          <w:tcPr>
            <w:tcW w:w="925" w:type="dxa"/>
            <w:vAlign w:val="center"/>
          </w:tcPr>
          <w:p w14:paraId="47C4312E">
            <w:pPr>
              <w:spacing w:line="400" w:lineRule="exact"/>
              <w:jc w:val="center"/>
              <w:rPr>
                <w:rFonts w:ascii="Times New Roman" w:hAnsi="Times New Roman"/>
                <w:sz w:val="28"/>
                <w:szCs w:val="28"/>
              </w:rPr>
            </w:pPr>
            <w:r>
              <w:rPr>
                <w:rFonts w:ascii="Times New Roman" w:hAnsi="Times New Roman"/>
                <w:sz w:val="28"/>
                <w:szCs w:val="28"/>
              </w:rPr>
              <w:t>预期性</w:t>
            </w:r>
          </w:p>
        </w:tc>
      </w:tr>
      <w:tr w14:paraId="1531E5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4CB6EEB0">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4168DB5E">
            <w:pPr>
              <w:spacing w:line="400" w:lineRule="exact"/>
              <w:jc w:val="center"/>
              <w:rPr>
                <w:rFonts w:ascii="Times New Roman" w:hAnsi="Times New Roman"/>
                <w:sz w:val="28"/>
                <w:szCs w:val="28"/>
              </w:rPr>
            </w:pPr>
            <w:r>
              <w:rPr>
                <w:rFonts w:ascii="Times New Roman" w:hAnsi="Times New Roman"/>
                <w:sz w:val="28"/>
                <w:szCs w:val="28"/>
              </w:rPr>
              <w:t>农村乡镇综合服务站乡镇覆盖率(%)</w:t>
            </w:r>
          </w:p>
        </w:tc>
        <w:tc>
          <w:tcPr>
            <w:tcW w:w="1095" w:type="dxa"/>
            <w:tcMar>
              <w:top w:w="15" w:type="dxa"/>
              <w:left w:w="15" w:type="dxa"/>
              <w:bottom w:w="0" w:type="dxa"/>
              <w:right w:w="15" w:type="dxa"/>
            </w:tcMar>
            <w:vAlign w:val="center"/>
          </w:tcPr>
          <w:p w14:paraId="54392122">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4EA35BFB">
            <w:pPr>
              <w:spacing w:line="400" w:lineRule="exact"/>
              <w:jc w:val="center"/>
              <w:rPr>
                <w:rFonts w:ascii="Times New Roman" w:hAnsi="Times New Roman"/>
                <w:sz w:val="28"/>
                <w:szCs w:val="28"/>
              </w:rPr>
            </w:pPr>
            <w:r>
              <w:rPr>
                <w:rFonts w:ascii="Times New Roman" w:hAnsi="Times New Roman"/>
                <w:sz w:val="28"/>
                <w:szCs w:val="28"/>
              </w:rPr>
              <w:t>100</w:t>
            </w:r>
          </w:p>
        </w:tc>
        <w:tc>
          <w:tcPr>
            <w:tcW w:w="925" w:type="dxa"/>
            <w:vAlign w:val="center"/>
          </w:tcPr>
          <w:p w14:paraId="6D32D4E8">
            <w:pPr>
              <w:spacing w:line="400" w:lineRule="exact"/>
              <w:jc w:val="center"/>
              <w:rPr>
                <w:rFonts w:ascii="Times New Roman" w:hAnsi="Times New Roman"/>
                <w:sz w:val="28"/>
                <w:szCs w:val="28"/>
              </w:rPr>
            </w:pPr>
            <w:r>
              <w:rPr>
                <w:rFonts w:ascii="Times New Roman" w:hAnsi="Times New Roman"/>
                <w:sz w:val="28"/>
                <w:szCs w:val="28"/>
              </w:rPr>
              <w:t>预期性</w:t>
            </w:r>
          </w:p>
        </w:tc>
      </w:tr>
      <w:tr w14:paraId="3D007A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7981BC9C">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49BA41D0">
            <w:pPr>
              <w:spacing w:line="400" w:lineRule="exact"/>
              <w:jc w:val="center"/>
              <w:rPr>
                <w:rFonts w:ascii="Times New Roman" w:hAnsi="Times New Roman"/>
                <w:sz w:val="28"/>
                <w:szCs w:val="28"/>
              </w:rPr>
            </w:pPr>
            <w:r>
              <w:rPr>
                <w:rFonts w:ascii="Times New Roman" w:hAnsi="Times New Roman"/>
                <w:sz w:val="28"/>
                <w:szCs w:val="28"/>
              </w:rPr>
              <w:t xml:space="preserve">城市干道与高等级公路连接率(%) </w:t>
            </w:r>
          </w:p>
        </w:tc>
        <w:tc>
          <w:tcPr>
            <w:tcW w:w="1095" w:type="dxa"/>
            <w:tcMar>
              <w:top w:w="15" w:type="dxa"/>
              <w:left w:w="15" w:type="dxa"/>
              <w:bottom w:w="0" w:type="dxa"/>
              <w:right w:w="15" w:type="dxa"/>
            </w:tcMar>
            <w:vAlign w:val="center"/>
          </w:tcPr>
          <w:p w14:paraId="517149F0">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37D24FB2">
            <w:pPr>
              <w:spacing w:line="400" w:lineRule="exact"/>
              <w:jc w:val="center"/>
              <w:rPr>
                <w:rFonts w:ascii="Times New Roman" w:hAnsi="Times New Roman"/>
                <w:sz w:val="28"/>
                <w:szCs w:val="28"/>
              </w:rPr>
            </w:pPr>
            <w:r>
              <w:rPr>
                <w:rFonts w:ascii="Times New Roman" w:hAnsi="Times New Roman"/>
                <w:sz w:val="28"/>
                <w:szCs w:val="28"/>
              </w:rPr>
              <w:t>100</w:t>
            </w:r>
          </w:p>
        </w:tc>
        <w:tc>
          <w:tcPr>
            <w:tcW w:w="925" w:type="dxa"/>
            <w:vAlign w:val="center"/>
          </w:tcPr>
          <w:p w14:paraId="78EDA303">
            <w:pPr>
              <w:spacing w:line="400" w:lineRule="exact"/>
              <w:jc w:val="center"/>
              <w:rPr>
                <w:rFonts w:ascii="Times New Roman" w:hAnsi="Times New Roman"/>
                <w:sz w:val="28"/>
                <w:szCs w:val="28"/>
              </w:rPr>
            </w:pPr>
            <w:r>
              <w:rPr>
                <w:rFonts w:ascii="Times New Roman" w:hAnsi="Times New Roman"/>
                <w:sz w:val="28"/>
                <w:szCs w:val="28"/>
              </w:rPr>
              <w:t>预期性</w:t>
            </w:r>
          </w:p>
        </w:tc>
      </w:tr>
      <w:tr w14:paraId="3850B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7ED5011E">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6642AF99">
            <w:pPr>
              <w:spacing w:line="400" w:lineRule="exact"/>
              <w:jc w:val="center"/>
              <w:rPr>
                <w:rFonts w:ascii="Times New Roman" w:hAnsi="Times New Roman"/>
                <w:sz w:val="28"/>
                <w:szCs w:val="28"/>
              </w:rPr>
            </w:pPr>
            <w:r>
              <w:rPr>
                <w:rFonts w:ascii="Times New Roman" w:hAnsi="Times New Roman"/>
                <w:sz w:val="28"/>
                <w:szCs w:val="28"/>
              </w:rPr>
              <w:t>高速公路互通、综合客运枢纽、物流园区和重要港区等二级及以上公路连接率(%)</w:t>
            </w:r>
          </w:p>
        </w:tc>
        <w:tc>
          <w:tcPr>
            <w:tcW w:w="1095" w:type="dxa"/>
            <w:tcMar>
              <w:top w:w="15" w:type="dxa"/>
              <w:left w:w="15" w:type="dxa"/>
              <w:bottom w:w="0" w:type="dxa"/>
              <w:right w:w="15" w:type="dxa"/>
            </w:tcMar>
            <w:vAlign w:val="center"/>
          </w:tcPr>
          <w:p w14:paraId="128C961C">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1264B1F6">
            <w:pPr>
              <w:spacing w:line="400" w:lineRule="exact"/>
              <w:jc w:val="center"/>
              <w:rPr>
                <w:rFonts w:ascii="Times New Roman" w:hAnsi="Times New Roman"/>
                <w:sz w:val="28"/>
                <w:szCs w:val="28"/>
              </w:rPr>
            </w:pPr>
            <w:r>
              <w:rPr>
                <w:rFonts w:ascii="Times New Roman" w:hAnsi="Times New Roman"/>
                <w:sz w:val="28"/>
                <w:szCs w:val="28"/>
              </w:rPr>
              <w:t>100</w:t>
            </w:r>
          </w:p>
        </w:tc>
        <w:tc>
          <w:tcPr>
            <w:tcW w:w="925" w:type="dxa"/>
            <w:vAlign w:val="center"/>
          </w:tcPr>
          <w:p w14:paraId="257DE811">
            <w:pPr>
              <w:spacing w:line="400" w:lineRule="exact"/>
              <w:jc w:val="center"/>
              <w:rPr>
                <w:rFonts w:ascii="Times New Roman" w:hAnsi="Times New Roman"/>
                <w:sz w:val="28"/>
                <w:szCs w:val="28"/>
              </w:rPr>
            </w:pPr>
            <w:r>
              <w:rPr>
                <w:rFonts w:ascii="Times New Roman" w:hAnsi="Times New Roman"/>
                <w:sz w:val="28"/>
                <w:szCs w:val="28"/>
              </w:rPr>
              <w:t>预期性</w:t>
            </w:r>
          </w:p>
        </w:tc>
      </w:tr>
      <w:tr w14:paraId="5C63F1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restart"/>
            <w:vAlign w:val="center"/>
          </w:tcPr>
          <w:p w14:paraId="6D563259">
            <w:pPr>
              <w:spacing w:line="400" w:lineRule="exact"/>
              <w:jc w:val="center"/>
              <w:rPr>
                <w:rFonts w:ascii="Times New Roman" w:hAnsi="Times New Roman"/>
                <w:sz w:val="28"/>
                <w:szCs w:val="28"/>
              </w:rPr>
            </w:pPr>
            <w:r>
              <w:rPr>
                <w:rFonts w:ascii="Times New Roman" w:hAnsi="Times New Roman"/>
                <w:sz w:val="28"/>
                <w:szCs w:val="28"/>
              </w:rPr>
              <w:t>便捷</w:t>
            </w:r>
          </w:p>
          <w:p w14:paraId="4C70A438">
            <w:pPr>
              <w:spacing w:line="400" w:lineRule="exact"/>
              <w:jc w:val="center"/>
              <w:rPr>
                <w:rFonts w:ascii="Times New Roman" w:hAnsi="Times New Roman"/>
                <w:sz w:val="28"/>
                <w:szCs w:val="28"/>
              </w:rPr>
            </w:pPr>
            <w:r>
              <w:rPr>
                <w:rFonts w:ascii="Times New Roman" w:hAnsi="Times New Roman"/>
                <w:sz w:val="28"/>
                <w:szCs w:val="28"/>
              </w:rPr>
              <w:t>舒适</w:t>
            </w:r>
          </w:p>
        </w:tc>
        <w:tc>
          <w:tcPr>
            <w:tcW w:w="4477" w:type="dxa"/>
            <w:tcMar>
              <w:top w:w="15" w:type="dxa"/>
              <w:left w:w="15" w:type="dxa"/>
              <w:bottom w:w="0" w:type="dxa"/>
              <w:right w:w="15" w:type="dxa"/>
            </w:tcMar>
            <w:vAlign w:val="center"/>
          </w:tcPr>
          <w:p w14:paraId="208CA924">
            <w:pPr>
              <w:spacing w:line="400" w:lineRule="exact"/>
              <w:jc w:val="center"/>
              <w:rPr>
                <w:rFonts w:ascii="Times New Roman" w:hAnsi="Times New Roman"/>
                <w:sz w:val="28"/>
                <w:szCs w:val="28"/>
              </w:rPr>
            </w:pPr>
            <w:r>
              <w:rPr>
                <w:rFonts w:ascii="Times New Roman" w:hAnsi="Times New Roman"/>
                <w:sz w:val="28"/>
                <w:szCs w:val="28"/>
              </w:rPr>
              <w:t>城市建成区公交车站点500米半径覆盖率(%)</w:t>
            </w:r>
          </w:p>
        </w:tc>
        <w:tc>
          <w:tcPr>
            <w:tcW w:w="1095" w:type="dxa"/>
            <w:tcMar>
              <w:top w:w="15" w:type="dxa"/>
              <w:left w:w="15" w:type="dxa"/>
              <w:bottom w:w="0" w:type="dxa"/>
              <w:right w:w="15" w:type="dxa"/>
            </w:tcMar>
            <w:vAlign w:val="center"/>
          </w:tcPr>
          <w:p w14:paraId="1E542BA3">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15F298C2">
            <w:pPr>
              <w:spacing w:line="400" w:lineRule="exact"/>
              <w:jc w:val="center"/>
              <w:rPr>
                <w:rFonts w:ascii="Times New Roman" w:hAnsi="Times New Roman"/>
                <w:sz w:val="28"/>
                <w:szCs w:val="28"/>
              </w:rPr>
            </w:pPr>
            <w:r>
              <w:rPr>
                <w:rFonts w:ascii="Times New Roman" w:hAnsi="Times New Roman"/>
                <w:sz w:val="28"/>
                <w:szCs w:val="28"/>
              </w:rPr>
              <w:t>100</w:t>
            </w:r>
          </w:p>
        </w:tc>
        <w:tc>
          <w:tcPr>
            <w:tcW w:w="925" w:type="dxa"/>
            <w:vAlign w:val="center"/>
          </w:tcPr>
          <w:p w14:paraId="18F94ABF">
            <w:pPr>
              <w:spacing w:line="400" w:lineRule="exact"/>
              <w:jc w:val="center"/>
              <w:rPr>
                <w:rFonts w:ascii="Times New Roman" w:hAnsi="Times New Roman"/>
                <w:sz w:val="28"/>
                <w:szCs w:val="28"/>
              </w:rPr>
            </w:pPr>
            <w:r>
              <w:rPr>
                <w:rFonts w:ascii="Times New Roman" w:hAnsi="Times New Roman"/>
                <w:sz w:val="28"/>
                <w:szCs w:val="28"/>
              </w:rPr>
              <w:t>预期性</w:t>
            </w:r>
          </w:p>
        </w:tc>
      </w:tr>
      <w:tr w14:paraId="116DC0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6512AEE9">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47ECA376">
            <w:pPr>
              <w:spacing w:line="400" w:lineRule="exact"/>
              <w:jc w:val="center"/>
              <w:rPr>
                <w:rFonts w:ascii="Times New Roman" w:hAnsi="Times New Roman"/>
                <w:sz w:val="28"/>
                <w:szCs w:val="28"/>
              </w:rPr>
            </w:pPr>
            <w:r>
              <w:rPr>
                <w:rFonts w:ascii="Times New Roman" w:hAnsi="Times New Roman"/>
                <w:sz w:val="28"/>
                <w:szCs w:val="28"/>
              </w:rPr>
              <w:t>城市建成区公交车进场率（%）</w:t>
            </w:r>
          </w:p>
        </w:tc>
        <w:tc>
          <w:tcPr>
            <w:tcW w:w="1095" w:type="dxa"/>
            <w:tcMar>
              <w:top w:w="15" w:type="dxa"/>
              <w:left w:w="15" w:type="dxa"/>
              <w:bottom w:w="0" w:type="dxa"/>
              <w:right w:w="15" w:type="dxa"/>
            </w:tcMar>
            <w:vAlign w:val="center"/>
          </w:tcPr>
          <w:p w14:paraId="12A96D2A">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02A6D159">
            <w:pPr>
              <w:spacing w:line="400" w:lineRule="exact"/>
              <w:jc w:val="center"/>
              <w:rPr>
                <w:rFonts w:ascii="Times New Roman" w:hAnsi="Times New Roman"/>
                <w:sz w:val="28"/>
                <w:szCs w:val="28"/>
              </w:rPr>
            </w:pPr>
            <w:r>
              <w:rPr>
                <w:rFonts w:ascii="Times New Roman" w:hAnsi="Times New Roman"/>
                <w:sz w:val="28"/>
                <w:szCs w:val="28"/>
              </w:rPr>
              <w:t>60</w:t>
            </w:r>
          </w:p>
        </w:tc>
        <w:tc>
          <w:tcPr>
            <w:tcW w:w="925" w:type="dxa"/>
            <w:vAlign w:val="center"/>
          </w:tcPr>
          <w:p w14:paraId="165C6AC7">
            <w:pPr>
              <w:spacing w:line="400" w:lineRule="exact"/>
              <w:jc w:val="center"/>
              <w:rPr>
                <w:rFonts w:ascii="Times New Roman" w:hAnsi="Times New Roman"/>
                <w:sz w:val="28"/>
                <w:szCs w:val="28"/>
              </w:rPr>
            </w:pPr>
            <w:r>
              <w:rPr>
                <w:rFonts w:ascii="Times New Roman" w:hAnsi="Times New Roman"/>
                <w:sz w:val="28"/>
                <w:szCs w:val="28"/>
              </w:rPr>
              <w:t>预期性</w:t>
            </w:r>
          </w:p>
        </w:tc>
      </w:tr>
      <w:tr w14:paraId="24E91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31" w:hRule="atLeast"/>
          <w:jc w:val="center"/>
        </w:trPr>
        <w:tc>
          <w:tcPr>
            <w:tcW w:w="734" w:type="dxa"/>
            <w:vMerge w:val="continue"/>
            <w:vAlign w:val="center"/>
          </w:tcPr>
          <w:p w14:paraId="74F40D8B">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46E2E3C6">
            <w:pPr>
              <w:spacing w:line="400" w:lineRule="exact"/>
              <w:jc w:val="center"/>
              <w:rPr>
                <w:rFonts w:ascii="Times New Roman" w:hAnsi="Times New Roman"/>
                <w:sz w:val="28"/>
                <w:szCs w:val="28"/>
              </w:rPr>
            </w:pPr>
            <w:r>
              <w:rPr>
                <w:rFonts w:ascii="Times New Roman" w:hAnsi="Times New Roman"/>
                <w:sz w:val="28"/>
                <w:szCs w:val="28"/>
              </w:rPr>
              <w:t>4A级及以上景区二级及以上公路连接率(%)</w:t>
            </w:r>
          </w:p>
        </w:tc>
        <w:tc>
          <w:tcPr>
            <w:tcW w:w="1095" w:type="dxa"/>
            <w:tcMar>
              <w:top w:w="15" w:type="dxa"/>
              <w:left w:w="15" w:type="dxa"/>
              <w:bottom w:w="0" w:type="dxa"/>
              <w:right w:w="15" w:type="dxa"/>
            </w:tcMar>
            <w:vAlign w:val="center"/>
          </w:tcPr>
          <w:p w14:paraId="3F144BBA">
            <w:pPr>
              <w:spacing w:line="400" w:lineRule="exact"/>
              <w:jc w:val="center"/>
              <w:rPr>
                <w:rFonts w:ascii="Times New Roman" w:hAnsi="Times New Roman"/>
                <w:sz w:val="28"/>
                <w:szCs w:val="28"/>
              </w:rPr>
            </w:pPr>
            <w:r>
              <w:rPr>
                <w:rFonts w:ascii="Times New Roman" w:hAnsi="Times New Roman"/>
                <w:sz w:val="28"/>
                <w:szCs w:val="28"/>
              </w:rPr>
              <w:t>100</w:t>
            </w:r>
          </w:p>
        </w:tc>
        <w:tc>
          <w:tcPr>
            <w:tcW w:w="1075" w:type="dxa"/>
            <w:tcMar>
              <w:top w:w="15" w:type="dxa"/>
              <w:left w:w="15" w:type="dxa"/>
              <w:bottom w:w="0" w:type="dxa"/>
              <w:right w:w="15" w:type="dxa"/>
            </w:tcMar>
            <w:vAlign w:val="center"/>
          </w:tcPr>
          <w:p w14:paraId="3C5CD480">
            <w:pPr>
              <w:spacing w:line="400" w:lineRule="exact"/>
              <w:jc w:val="center"/>
              <w:rPr>
                <w:rFonts w:ascii="Times New Roman" w:hAnsi="Times New Roman"/>
                <w:sz w:val="28"/>
                <w:szCs w:val="28"/>
              </w:rPr>
            </w:pPr>
            <w:r>
              <w:rPr>
                <w:rFonts w:ascii="Times New Roman" w:hAnsi="Times New Roman"/>
                <w:sz w:val="28"/>
                <w:szCs w:val="28"/>
              </w:rPr>
              <w:t>100</w:t>
            </w:r>
          </w:p>
        </w:tc>
        <w:tc>
          <w:tcPr>
            <w:tcW w:w="925" w:type="dxa"/>
            <w:vAlign w:val="center"/>
          </w:tcPr>
          <w:p w14:paraId="25EF57AA">
            <w:pPr>
              <w:spacing w:line="400" w:lineRule="exact"/>
              <w:jc w:val="center"/>
              <w:rPr>
                <w:rFonts w:ascii="Times New Roman" w:hAnsi="Times New Roman"/>
                <w:sz w:val="28"/>
                <w:szCs w:val="28"/>
              </w:rPr>
            </w:pPr>
            <w:r>
              <w:rPr>
                <w:rFonts w:ascii="Times New Roman" w:hAnsi="Times New Roman"/>
                <w:sz w:val="28"/>
                <w:szCs w:val="28"/>
              </w:rPr>
              <w:t>预期性</w:t>
            </w:r>
          </w:p>
        </w:tc>
      </w:tr>
      <w:tr w14:paraId="374914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1FE12EF6">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18AE6527">
            <w:pPr>
              <w:spacing w:line="400" w:lineRule="exact"/>
              <w:jc w:val="center"/>
              <w:rPr>
                <w:rFonts w:ascii="Times New Roman" w:hAnsi="Times New Roman"/>
                <w:sz w:val="28"/>
                <w:szCs w:val="28"/>
              </w:rPr>
            </w:pPr>
            <w:r>
              <w:rPr>
                <w:rFonts w:ascii="Times New Roman" w:hAnsi="Times New Roman"/>
                <w:sz w:val="28"/>
                <w:szCs w:val="28"/>
              </w:rPr>
              <w:t>水运货运量、铁路货运量增长速度(%)</w:t>
            </w:r>
          </w:p>
        </w:tc>
        <w:tc>
          <w:tcPr>
            <w:tcW w:w="1095" w:type="dxa"/>
            <w:tcMar>
              <w:top w:w="15" w:type="dxa"/>
              <w:left w:w="15" w:type="dxa"/>
              <w:bottom w:w="0" w:type="dxa"/>
              <w:right w:w="15" w:type="dxa"/>
            </w:tcMar>
            <w:vAlign w:val="center"/>
          </w:tcPr>
          <w:p w14:paraId="1E21B80B">
            <w:pPr>
              <w:spacing w:line="400" w:lineRule="exact"/>
              <w:jc w:val="center"/>
              <w:rPr>
                <w:rFonts w:ascii="Times New Roman" w:hAnsi="Times New Roman"/>
                <w:sz w:val="28"/>
                <w:szCs w:val="28"/>
              </w:rPr>
            </w:pPr>
            <w:r>
              <w:rPr>
                <w:rFonts w:ascii="Times New Roman" w:hAnsi="Times New Roman"/>
                <w:sz w:val="28"/>
                <w:szCs w:val="28"/>
              </w:rPr>
              <w:t>10.8</w:t>
            </w:r>
          </w:p>
        </w:tc>
        <w:tc>
          <w:tcPr>
            <w:tcW w:w="1075" w:type="dxa"/>
            <w:tcMar>
              <w:top w:w="15" w:type="dxa"/>
              <w:left w:w="15" w:type="dxa"/>
              <w:bottom w:w="0" w:type="dxa"/>
              <w:right w:w="15" w:type="dxa"/>
            </w:tcMar>
            <w:vAlign w:val="center"/>
          </w:tcPr>
          <w:p w14:paraId="2320AB2F">
            <w:pPr>
              <w:spacing w:line="400" w:lineRule="exact"/>
              <w:jc w:val="center"/>
              <w:rPr>
                <w:rFonts w:ascii="Times New Roman" w:hAnsi="Times New Roman"/>
                <w:sz w:val="28"/>
                <w:szCs w:val="28"/>
              </w:rPr>
            </w:pPr>
            <w:r>
              <w:rPr>
                <w:rFonts w:ascii="Times New Roman" w:hAnsi="Times New Roman"/>
                <w:sz w:val="28"/>
                <w:szCs w:val="28"/>
              </w:rPr>
              <w:t>&gt;16</w:t>
            </w:r>
          </w:p>
        </w:tc>
        <w:tc>
          <w:tcPr>
            <w:tcW w:w="925" w:type="dxa"/>
            <w:vAlign w:val="center"/>
          </w:tcPr>
          <w:p w14:paraId="7EF0E683">
            <w:pPr>
              <w:spacing w:line="400" w:lineRule="exact"/>
              <w:jc w:val="center"/>
              <w:rPr>
                <w:rFonts w:ascii="Times New Roman" w:hAnsi="Times New Roman"/>
                <w:sz w:val="28"/>
                <w:szCs w:val="28"/>
              </w:rPr>
            </w:pPr>
            <w:r>
              <w:rPr>
                <w:rFonts w:ascii="Times New Roman" w:hAnsi="Times New Roman"/>
                <w:sz w:val="28"/>
                <w:szCs w:val="28"/>
              </w:rPr>
              <w:t>预期性</w:t>
            </w:r>
          </w:p>
        </w:tc>
      </w:tr>
      <w:tr w14:paraId="0D4F3B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713577EB">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4A46594F">
            <w:pPr>
              <w:spacing w:line="400" w:lineRule="exact"/>
              <w:jc w:val="center"/>
              <w:rPr>
                <w:rFonts w:ascii="Times New Roman" w:hAnsi="Times New Roman"/>
                <w:sz w:val="28"/>
                <w:szCs w:val="28"/>
              </w:rPr>
            </w:pPr>
            <w:r>
              <w:rPr>
                <w:rFonts w:ascii="Times New Roman" w:hAnsi="Times New Roman"/>
                <w:sz w:val="28"/>
                <w:szCs w:val="28"/>
              </w:rPr>
              <w:t>行政村通邮率（%）</w:t>
            </w:r>
          </w:p>
        </w:tc>
        <w:tc>
          <w:tcPr>
            <w:tcW w:w="1095" w:type="dxa"/>
            <w:tcMar>
              <w:top w:w="15" w:type="dxa"/>
              <w:left w:w="15" w:type="dxa"/>
              <w:bottom w:w="0" w:type="dxa"/>
              <w:right w:w="15" w:type="dxa"/>
            </w:tcMar>
            <w:vAlign w:val="center"/>
          </w:tcPr>
          <w:p w14:paraId="5FCEB813">
            <w:pPr>
              <w:spacing w:line="400" w:lineRule="exact"/>
              <w:jc w:val="center"/>
              <w:rPr>
                <w:rFonts w:ascii="Times New Roman" w:hAnsi="Times New Roman"/>
                <w:sz w:val="28"/>
                <w:szCs w:val="28"/>
              </w:rPr>
            </w:pPr>
            <w:r>
              <w:rPr>
                <w:rFonts w:ascii="Times New Roman" w:hAnsi="Times New Roman"/>
                <w:sz w:val="28"/>
                <w:szCs w:val="28"/>
              </w:rPr>
              <w:t>100</w:t>
            </w:r>
          </w:p>
        </w:tc>
        <w:tc>
          <w:tcPr>
            <w:tcW w:w="1075" w:type="dxa"/>
            <w:tcMar>
              <w:top w:w="15" w:type="dxa"/>
              <w:left w:w="15" w:type="dxa"/>
              <w:bottom w:w="0" w:type="dxa"/>
              <w:right w:w="15" w:type="dxa"/>
            </w:tcMar>
            <w:vAlign w:val="center"/>
          </w:tcPr>
          <w:p w14:paraId="52C9B6A8">
            <w:pPr>
              <w:spacing w:line="400" w:lineRule="exact"/>
              <w:jc w:val="center"/>
              <w:rPr>
                <w:rFonts w:ascii="Times New Roman" w:hAnsi="Times New Roman"/>
                <w:sz w:val="28"/>
                <w:szCs w:val="28"/>
              </w:rPr>
            </w:pPr>
            <w:r>
              <w:rPr>
                <w:rFonts w:ascii="Times New Roman" w:hAnsi="Times New Roman"/>
                <w:sz w:val="28"/>
                <w:szCs w:val="28"/>
              </w:rPr>
              <w:t>100</w:t>
            </w:r>
          </w:p>
        </w:tc>
        <w:tc>
          <w:tcPr>
            <w:tcW w:w="925" w:type="dxa"/>
            <w:vAlign w:val="center"/>
          </w:tcPr>
          <w:p w14:paraId="1070FB74">
            <w:pPr>
              <w:spacing w:line="400" w:lineRule="exact"/>
              <w:jc w:val="center"/>
              <w:rPr>
                <w:rFonts w:ascii="Times New Roman" w:hAnsi="Times New Roman"/>
                <w:sz w:val="28"/>
                <w:szCs w:val="28"/>
              </w:rPr>
            </w:pPr>
            <w:r>
              <w:rPr>
                <w:rFonts w:ascii="Times New Roman" w:hAnsi="Times New Roman"/>
                <w:sz w:val="28"/>
                <w:szCs w:val="28"/>
              </w:rPr>
              <w:t>预期性</w:t>
            </w:r>
          </w:p>
        </w:tc>
      </w:tr>
      <w:tr w14:paraId="4A6557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restart"/>
            <w:vAlign w:val="center"/>
          </w:tcPr>
          <w:p w14:paraId="6F97EF24">
            <w:pPr>
              <w:spacing w:line="400" w:lineRule="exact"/>
              <w:jc w:val="center"/>
              <w:rPr>
                <w:rFonts w:ascii="Times New Roman" w:hAnsi="Times New Roman"/>
                <w:sz w:val="28"/>
                <w:szCs w:val="28"/>
              </w:rPr>
            </w:pPr>
            <w:r>
              <w:rPr>
                <w:rFonts w:ascii="Times New Roman" w:hAnsi="Times New Roman"/>
                <w:sz w:val="28"/>
                <w:szCs w:val="28"/>
              </w:rPr>
              <w:t>安全</w:t>
            </w:r>
          </w:p>
          <w:p w14:paraId="30CB3FB7">
            <w:pPr>
              <w:spacing w:line="400" w:lineRule="exact"/>
              <w:jc w:val="center"/>
              <w:rPr>
                <w:rFonts w:ascii="Times New Roman" w:hAnsi="Times New Roman"/>
                <w:sz w:val="28"/>
                <w:szCs w:val="28"/>
              </w:rPr>
            </w:pPr>
            <w:r>
              <w:rPr>
                <w:rFonts w:ascii="Times New Roman" w:hAnsi="Times New Roman"/>
                <w:sz w:val="28"/>
                <w:szCs w:val="28"/>
              </w:rPr>
              <w:t>可靠</w:t>
            </w:r>
          </w:p>
        </w:tc>
        <w:tc>
          <w:tcPr>
            <w:tcW w:w="4477" w:type="dxa"/>
            <w:tcMar>
              <w:top w:w="15" w:type="dxa"/>
              <w:left w:w="15" w:type="dxa"/>
              <w:bottom w:w="0" w:type="dxa"/>
              <w:right w:w="15" w:type="dxa"/>
            </w:tcMar>
            <w:vAlign w:val="center"/>
          </w:tcPr>
          <w:p w14:paraId="6B8D6231">
            <w:pPr>
              <w:spacing w:line="400" w:lineRule="exact"/>
              <w:jc w:val="center"/>
              <w:rPr>
                <w:rFonts w:ascii="Times New Roman" w:hAnsi="Times New Roman"/>
                <w:sz w:val="28"/>
                <w:szCs w:val="28"/>
              </w:rPr>
            </w:pPr>
            <w:r>
              <w:rPr>
                <w:rFonts w:ascii="Times New Roman" w:hAnsi="Times New Roman"/>
                <w:sz w:val="28"/>
                <w:szCs w:val="28"/>
              </w:rPr>
              <w:t>公路特长隧道、特大桥梁动态监测覆盖率(%)</w:t>
            </w:r>
          </w:p>
        </w:tc>
        <w:tc>
          <w:tcPr>
            <w:tcW w:w="1095" w:type="dxa"/>
            <w:tcMar>
              <w:top w:w="15" w:type="dxa"/>
              <w:left w:w="15" w:type="dxa"/>
              <w:bottom w:w="0" w:type="dxa"/>
              <w:right w:w="15" w:type="dxa"/>
            </w:tcMar>
            <w:vAlign w:val="center"/>
          </w:tcPr>
          <w:p w14:paraId="7F0F5D74">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2AF77F8E">
            <w:pPr>
              <w:spacing w:line="400" w:lineRule="exact"/>
              <w:jc w:val="center"/>
              <w:rPr>
                <w:rFonts w:ascii="Times New Roman" w:hAnsi="Times New Roman"/>
                <w:sz w:val="28"/>
                <w:szCs w:val="28"/>
              </w:rPr>
            </w:pPr>
            <w:r>
              <w:rPr>
                <w:rFonts w:ascii="Times New Roman" w:hAnsi="Times New Roman"/>
                <w:sz w:val="28"/>
                <w:szCs w:val="28"/>
              </w:rPr>
              <w:t>100</w:t>
            </w:r>
          </w:p>
        </w:tc>
        <w:tc>
          <w:tcPr>
            <w:tcW w:w="925" w:type="dxa"/>
            <w:vAlign w:val="center"/>
          </w:tcPr>
          <w:p w14:paraId="342DAB9C">
            <w:pPr>
              <w:spacing w:line="400" w:lineRule="exact"/>
              <w:jc w:val="center"/>
              <w:rPr>
                <w:rFonts w:ascii="Times New Roman" w:hAnsi="Times New Roman"/>
                <w:sz w:val="28"/>
                <w:szCs w:val="28"/>
              </w:rPr>
            </w:pPr>
            <w:r>
              <w:rPr>
                <w:rFonts w:ascii="Times New Roman" w:hAnsi="Times New Roman"/>
                <w:sz w:val="28"/>
                <w:szCs w:val="28"/>
              </w:rPr>
              <w:t>预期性</w:t>
            </w:r>
          </w:p>
        </w:tc>
      </w:tr>
      <w:tr w14:paraId="1B7548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415DBB44">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37A908A3">
            <w:pPr>
              <w:spacing w:line="400" w:lineRule="exact"/>
              <w:jc w:val="center"/>
              <w:rPr>
                <w:rFonts w:ascii="Times New Roman" w:hAnsi="Times New Roman"/>
                <w:sz w:val="28"/>
                <w:szCs w:val="28"/>
              </w:rPr>
            </w:pPr>
            <w:r>
              <w:rPr>
                <w:rFonts w:ascii="Times New Roman" w:hAnsi="Times New Roman"/>
                <w:sz w:val="28"/>
                <w:szCs w:val="28"/>
              </w:rPr>
              <w:t>高速公路、普通干线公路应急救援响应时间（小时）</w:t>
            </w:r>
          </w:p>
        </w:tc>
        <w:tc>
          <w:tcPr>
            <w:tcW w:w="1095" w:type="dxa"/>
            <w:tcMar>
              <w:top w:w="15" w:type="dxa"/>
              <w:left w:w="15" w:type="dxa"/>
              <w:bottom w:w="0" w:type="dxa"/>
              <w:right w:w="15" w:type="dxa"/>
            </w:tcMar>
            <w:vAlign w:val="center"/>
          </w:tcPr>
          <w:p w14:paraId="6B1B3584">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4F925814">
            <w:pPr>
              <w:spacing w:line="400" w:lineRule="exact"/>
              <w:jc w:val="center"/>
              <w:rPr>
                <w:rFonts w:ascii="Times New Roman" w:hAnsi="Times New Roman"/>
                <w:sz w:val="28"/>
                <w:szCs w:val="28"/>
              </w:rPr>
            </w:pPr>
            <w:r>
              <w:rPr>
                <w:rFonts w:ascii="Times New Roman" w:hAnsi="Times New Roman"/>
                <w:sz w:val="28"/>
                <w:szCs w:val="28"/>
              </w:rPr>
              <w:t>＜1</w:t>
            </w:r>
          </w:p>
        </w:tc>
        <w:tc>
          <w:tcPr>
            <w:tcW w:w="925" w:type="dxa"/>
            <w:vAlign w:val="center"/>
          </w:tcPr>
          <w:p w14:paraId="315B400C">
            <w:pPr>
              <w:spacing w:line="400" w:lineRule="exact"/>
              <w:jc w:val="center"/>
              <w:rPr>
                <w:rFonts w:ascii="Times New Roman" w:hAnsi="Times New Roman"/>
                <w:sz w:val="28"/>
                <w:szCs w:val="28"/>
              </w:rPr>
            </w:pPr>
            <w:r>
              <w:rPr>
                <w:rFonts w:ascii="Times New Roman" w:hAnsi="Times New Roman"/>
                <w:sz w:val="28"/>
                <w:szCs w:val="28"/>
              </w:rPr>
              <w:t>约束性</w:t>
            </w:r>
          </w:p>
        </w:tc>
      </w:tr>
      <w:tr w14:paraId="6CAE9A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restart"/>
            <w:vAlign w:val="center"/>
          </w:tcPr>
          <w:p w14:paraId="72FE662F">
            <w:pPr>
              <w:spacing w:line="400" w:lineRule="exact"/>
              <w:jc w:val="center"/>
              <w:rPr>
                <w:rFonts w:ascii="Times New Roman" w:hAnsi="Times New Roman"/>
                <w:sz w:val="28"/>
                <w:szCs w:val="28"/>
              </w:rPr>
            </w:pPr>
            <w:r>
              <w:rPr>
                <w:rFonts w:ascii="Times New Roman" w:hAnsi="Times New Roman"/>
                <w:sz w:val="28"/>
                <w:szCs w:val="28"/>
              </w:rPr>
              <w:t>智慧</w:t>
            </w:r>
          </w:p>
          <w:p w14:paraId="4C86B0A5">
            <w:pPr>
              <w:spacing w:line="400" w:lineRule="exact"/>
              <w:jc w:val="center"/>
              <w:rPr>
                <w:rFonts w:ascii="Times New Roman" w:hAnsi="Times New Roman"/>
                <w:sz w:val="28"/>
                <w:szCs w:val="28"/>
              </w:rPr>
            </w:pPr>
            <w:r>
              <w:rPr>
                <w:rFonts w:ascii="Times New Roman" w:hAnsi="Times New Roman"/>
                <w:sz w:val="28"/>
                <w:szCs w:val="28"/>
              </w:rPr>
              <w:t>绿色</w:t>
            </w:r>
          </w:p>
        </w:tc>
        <w:tc>
          <w:tcPr>
            <w:tcW w:w="4477" w:type="dxa"/>
            <w:tcMar>
              <w:top w:w="15" w:type="dxa"/>
              <w:left w:w="15" w:type="dxa"/>
              <w:bottom w:w="0" w:type="dxa"/>
              <w:right w:w="15" w:type="dxa"/>
            </w:tcMar>
            <w:vAlign w:val="center"/>
          </w:tcPr>
          <w:p w14:paraId="0CD1C022">
            <w:pPr>
              <w:spacing w:line="400" w:lineRule="exact"/>
              <w:jc w:val="center"/>
              <w:rPr>
                <w:rFonts w:ascii="Times New Roman" w:hAnsi="Times New Roman"/>
                <w:sz w:val="28"/>
                <w:szCs w:val="28"/>
              </w:rPr>
            </w:pPr>
            <w:r>
              <w:rPr>
                <w:rFonts w:ascii="Times New Roman" w:hAnsi="Times New Roman"/>
                <w:sz w:val="28"/>
                <w:szCs w:val="28"/>
              </w:rPr>
              <w:t>普通国省道、县乡道、农村公路项目平台监管率(%)</w:t>
            </w:r>
          </w:p>
        </w:tc>
        <w:tc>
          <w:tcPr>
            <w:tcW w:w="1095" w:type="dxa"/>
            <w:tcMar>
              <w:top w:w="15" w:type="dxa"/>
              <w:left w:w="15" w:type="dxa"/>
              <w:bottom w:w="0" w:type="dxa"/>
              <w:right w:w="15" w:type="dxa"/>
            </w:tcMar>
            <w:vAlign w:val="center"/>
          </w:tcPr>
          <w:p w14:paraId="08836DE2">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437DDC80">
            <w:pPr>
              <w:spacing w:line="400" w:lineRule="exact"/>
              <w:jc w:val="center"/>
              <w:rPr>
                <w:rFonts w:ascii="Times New Roman" w:hAnsi="Times New Roman"/>
                <w:sz w:val="28"/>
                <w:szCs w:val="28"/>
              </w:rPr>
            </w:pPr>
            <w:r>
              <w:rPr>
                <w:rFonts w:ascii="Times New Roman" w:hAnsi="Times New Roman"/>
                <w:sz w:val="28"/>
                <w:szCs w:val="28"/>
              </w:rPr>
              <w:t>100</w:t>
            </w:r>
          </w:p>
        </w:tc>
        <w:tc>
          <w:tcPr>
            <w:tcW w:w="925" w:type="dxa"/>
            <w:vAlign w:val="center"/>
          </w:tcPr>
          <w:p w14:paraId="05AA91D7">
            <w:pPr>
              <w:spacing w:line="400" w:lineRule="exact"/>
              <w:jc w:val="center"/>
              <w:rPr>
                <w:rFonts w:ascii="Times New Roman" w:hAnsi="Times New Roman"/>
                <w:sz w:val="28"/>
                <w:szCs w:val="28"/>
              </w:rPr>
            </w:pPr>
            <w:r>
              <w:rPr>
                <w:rFonts w:ascii="Times New Roman" w:hAnsi="Times New Roman"/>
                <w:sz w:val="28"/>
                <w:szCs w:val="28"/>
              </w:rPr>
              <w:t>约束性</w:t>
            </w:r>
          </w:p>
        </w:tc>
      </w:tr>
      <w:tr w14:paraId="186C21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51B17B30">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2706E26D">
            <w:pPr>
              <w:spacing w:line="400" w:lineRule="exact"/>
              <w:jc w:val="center"/>
              <w:rPr>
                <w:rFonts w:ascii="Times New Roman" w:hAnsi="Times New Roman"/>
                <w:sz w:val="28"/>
                <w:szCs w:val="28"/>
              </w:rPr>
            </w:pPr>
            <w:r>
              <w:rPr>
                <w:rFonts w:ascii="Times New Roman" w:hAnsi="Times New Roman"/>
                <w:sz w:val="28"/>
                <w:szCs w:val="28"/>
              </w:rPr>
              <w:t>城市建成区纯电动公交车辆占比（%）</w:t>
            </w:r>
          </w:p>
        </w:tc>
        <w:tc>
          <w:tcPr>
            <w:tcW w:w="1095" w:type="dxa"/>
            <w:tcMar>
              <w:top w:w="15" w:type="dxa"/>
              <w:left w:w="15" w:type="dxa"/>
              <w:bottom w:w="0" w:type="dxa"/>
              <w:right w:w="15" w:type="dxa"/>
            </w:tcMar>
            <w:vAlign w:val="center"/>
          </w:tcPr>
          <w:p w14:paraId="526BE6DE">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57546AC3">
            <w:pPr>
              <w:spacing w:line="400" w:lineRule="exact"/>
              <w:jc w:val="center"/>
              <w:rPr>
                <w:rFonts w:ascii="Times New Roman" w:hAnsi="Times New Roman"/>
                <w:sz w:val="28"/>
                <w:szCs w:val="28"/>
              </w:rPr>
            </w:pPr>
            <w:r>
              <w:rPr>
                <w:rFonts w:ascii="Times New Roman" w:hAnsi="Times New Roman"/>
                <w:sz w:val="28"/>
                <w:szCs w:val="28"/>
              </w:rPr>
              <w:t>100</w:t>
            </w:r>
          </w:p>
        </w:tc>
        <w:tc>
          <w:tcPr>
            <w:tcW w:w="925" w:type="dxa"/>
            <w:vAlign w:val="center"/>
          </w:tcPr>
          <w:p w14:paraId="3D8983B4">
            <w:pPr>
              <w:spacing w:line="400" w:lineRule="exact"/>
              <w:jc w:val="center"/>
              <w:rPr>
                <w:rFonts w:ascii="Times New Roman" w:hAnsi="Times New Roman"/>
                <w:sz w:val="28"/>
                <w:szCs w:val="28"/>
              </w:rPr>
            </w:pPr>
            <w:r>
              <w:rPr>
                <w:rFonts w:ascii="Times New Roman" w:hAnsi="Times New Roman"/>
                <w:sz w:val="28"/>
                <w:szCs w:val="28"/>
              </w:rPr>
              <w:t>约束性</w:t>
            </w:r>
          </w:p>
        </w:tc>
      </w:tr>
      <w:tr w14:paraId="560C14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2" w:hRule="atLeast"/>
          <w:jc w:val="center"/>
        </w:trPr>
        <w:tc>
          <w:tcPr>
            <w:tcW w:w="734" w:type="dxa"/>
            <w:vMerge w:val="continue"/>
            <w:vAlign w:val="center"/>
          </w:tcPr>
          <w:p w14:paraId="3CE4D6C8">
            <w:pPr>
              <w:spacing w:line="400" w:lineRule="exact"/>
              <w:jc w:val="center"/>
              <w:rPr>
                <w:rFonts w:ascii="Times New Roman" w:hAnsi="Times New Roman"/>
                <w:sz w:val="28"/>
                <w:szCs w:val="28"/>
              </w:rPr>
            </w:pPr>
          </w:p>
        </w:tc>
        <w:tc>
          <w:tcPr>
            <w:tcW w:w="4477" w:type="dxa"/>
            <w:tcMar>
              <w:top w:w="15" w:type="dxa"/>
              <w:left w:w="15" w:type="dxa"/>
              <w:bottom w:w="0" w:type="dxa"/>
              <w:right w:w="15" w:type="dxa"/>
            </w:tcMar>
            <w:vAlign w:val="center"/>
          </w:tcPr>
          <w:p w14:paraId="411E966F">
            <w:pPr>
              <w:spacing w:line="400" w:lineRule="exact"/>
              <w:jc w:val="center"/>
              <w:rPr>
                <w:rFonts w:ascii="Times New Roman" w:hAnsi="Times New Roman"/>
                <w:sz w:val="28"/>
                <w:szCs w:val="28"/>
              </w:rPr>
            </w:pPr>
            <w:r>
              <w:rPr>
                <w:rFonts w:ascii="Times New Roman" w:hAnsi="Times New Roman"/>
                <w:sz w:val="28"/>
                <w:szCs w:val="28"/>
              </w:rPr>
              <w:t>营运车船单位周转量二氧化碳下降率（%）</w:t>
            </w:r>
          </w:p>
        </w:tc>
        <w:tc>
          <w:tcPr>
            <w:tcW w:w="1095" w:type="dxa"/>
            <w:tcMar>
              <w:top w:w="15" w:type="dxa"/>
              <w:left w:w="15" w:type="dxa"/>
              <w:bottom w:w="0" w:type="dxa"/>
              <w:right w:w="15" w:type="dxa"/>
            </w:tcMar>
            <w:vAlign w:val="center"/>
          </w:tcPr>
          <w:p w14:paraId="6EF0ABED">
            <w:pPr>
              <w:spacing w:line="400" w:lineRule="exact"/>
              <w:jc w:val="center"/>
              <w:rPr>
                <w:rFonts w:ascii="Times New Roman" w:hAnsi="Times New Roman"/>
                <w:sz w:val="28"/>
                <w:szCs w:val="28"/>
              </w:rPr>
            </w:pPr>
            <w:r>
              <w:rPr>
                <w:rFonts w:hint="eastAsia" w:ascii="Times New Roman" w:hAnsi="Times New Roman"/>
                <w:sz w:val="28"/>
                <w:szCs w:val="28"/>
              </w:rPr>
              <w:t>-</w:t>
            </w:r>
          </w:p>
        </w:tc>
        <w:tc>
          <w:tcPr>
            <w:tcW w:w="1075" w:type="dxa"/>
            <w:tcMar>
              <w:top w:w="15" w:type="dxa"/>
              <w:left w:w="15" w:type="dxa"/>
              <w:bottom w:w="0" w:type="dxa"/>
              <w:right w:w="15" w:type="dxa"/>
            </w:tcMar>
            <w:vAlign w:val="center"/>
          </w:tcPr>
          <w:p w14:paraId="081F8D96">
            <w:pPr>
              <w:spacing w:line="400" w:lineRule="exact"/>
              <w:jc w:val="center"/>
              <w:rPr>
                <w:rFonts w:ascii="Times New Roman" w:hAnsi="Times New Roman"/>
                <w:sz w:val="28"/>
                <w:szCs w:val="28"/>
              </w:rPr>
            </w:pPr>
            <w:r>
              <w:rPr>
                <w:rFonts w:ascii="Times New Roman" w:hAnsi="Times New Roman"/>
                <w:sz w:val="28"/>
                <w:szCs w:val="28"/>
              </w:rPr>
              <w:t>4</w:t>
            </w:r>
          </w:p>
        </w:tc>
        <w:tc>
          <w:tcPr>
            <w:tcW w:w="925" w:type="dxa"/>
            <w:vAlign w:val="center"/>
          </w:tcPr>
          <w:p w14:paraId="47126DEA">
            <w:pPr>
              <w:spacing w:line="400" w:lineRule="exact"/>
              <w:jc w:val="center"/>
              <w:rPr>
                <w:rFonts w:ascii="Times New Roman" w:hAnsi="Times New Roman"/>
                <w:sz w:val="28"/>
                <w:szCs w:val="28"/>
              </w:rPr>
            </w:pPr>
            <w:r>
              <w:rPr>
                <w:rFonts w:ascii="Times New Roman" w:hAnsi="Times New Roman"/>
                <w:sz w:val="28"/>
                <w:szCs w:val="28"/>
              </w:rPr>
              <w:t>预期性</w:t>
            </w:r>
          </w:p>
        </w:tc>
      </w:tr>
    </w:tbl>
    <w:p w14:paraId="1AD48781">
      <w:pPr>
        <w:numPr>
          <w:ilvl w:val="0"/>
          <w:numId w:val="2"/>
        </w:numPr>
        <w:spacing w:line="600" w:lineRule="exact"/>
        <w:ind w:firstLine="640"/>
        <w:rPr>
          <w:rFonts w:ascii="Times New Roman" w:hAnsi="Times New Roman"/>
          <w:szCs w:val="32"/>
        </w:rPr>
      </w:pPr>
      <w:r>
        <w:rPr>
          <w:rFonts w:ascii="Times New Roman" w:hAnsi="Times New Roman"/>
          <w:szCs w:val="32"/>
        </w:rPr>
        <w:t>服务产业。聚焦重点旅游景区和全域旅游发展需求，围绕</w:t>
      </w:r>
      <w:r>
        <w:rPr>
          <w:rFonts w:hint="eastAsia" w:ascii="Times New Roman" w:hAnsi="Times New Roman"/>
          <w:szCs w:val="32"/>
        </w:rPr>
        <w:t>“</w:t>
      </w:r>
      <w:r>
        <w:rPr>
          <w:rFonts w:ascii="Times New Roman" w:hAnsi="Times New Roman"/>
          <w:szCs w:val="32"/>
        </w:rPr>
        <w:t>一园三线</w:t>
      </w:r>
      <w:r>
        <w:rPr>
          <w:rFonts w:hint="eastAsia" w:ascii="Times New Roman" w:hAnsi="Times New Roman"/>
          <w:szCs w:val="32"/>
        </w:rPr>
        <w:t>”</w:t>
      </w:r>
      <w:r>
        <w:rPr>
          <w:rFonts w:ascii="Times New Roman" w:hAnsi="Times New Roman"/>
          <w:szCs w:val="32"/>
        </w:rPr>
        <w:t>推动建设一批旅游公路、游客集散连接道、游船码头基础</w:t>
      </w:r>
      <w:r>
        <w:rPr>
          <w:rFonts w:hint="eastAsia" w:ascii="Times New Roman" w:hAnsi="Times New Roman"/>
          <w:szCs w:val="32"/>
        </w:rPr>
        <w:t>设施</w:t>
      </w:r>
      <w:r>
        <w:rPr>
          <w:rFonts w:ascii="Times New Roman" w:hAnsi="Times New Roman"/>
          <w:szCs w:val="32"/>
        </w:rPr>
        <w:t>项目；论证开通一批景区互通车、观光巴士、公交、游船线路，</w:t>
      </w:r>
      <w:r>
        <w:rPr>
          <w:rFonts w:ascii="Times New Roman" w:hAnsi="Times New Roman"/>
          <w:kern w:val="0"/>
          <w:szCs w:val="32"/>
        </w:rPr>
        <w:t>全方位构建高效便捷的旅游交通网络；</w:t>
      </w:r>
      <w:r>
        <w:rPr>
          <w:rFonts w:ascii="Times New Roman" w:hAnsi="Times New Roman"/>
          <w:szCs w:val="32"/>
        </w:rPr>
        <w:t>新建、拓宽、改造提升一批</w:t>
      </w:r>
      <w:r>
        <w:rPr>
          <w:rFonts w:hint="eastAsia" w:ascii="Times New Roman" w:hAnsi="Times New Roman"/>
          <w:szCs w:val="32"/>
        </w:rPr>
        <w:t>“</w:t>
      </w:r>
      <w:r>
        <w:rPr>
          <w:rFonts w:ascii="Times New Roman" w:hAnsi="Times New Roman"/>
          <w:szCs w:val="32"/>
        </w:rPr>
        <w:t>交通+旅游</w:t>
      </w:r>
      <w:r>
        <w:rPr>
          <w:rFonts w:hint="eastAsia" w:ascii="Times New Roman" w:hAnsi="Times New Roman"/>
          <w:szCs w:val="32"/>
        </w:rPr>
        <w:t>”</w:t>
      </w:r>
      <w:r>
        <w:rPr>
          <w:rFonts w:ascii="Times New Roman" w:hAnsi="Times New Roman"/>
          <w:szCs w:val="32"/>
        </w:rPr>
        <w:t>的旅游道路250公里，完善旅游交通驿站、观景平台、旅游购物、旅游交通厕所等功能型项目20个以上；聚集农业产业，新建、拓宽、改造提升一批</w:t>
      </w:r>
      <w:r>
        <w:rPr>
          <w:rFonts w:hint="eastAsia" w:ascii="Times New Roman" w:hAnsi="Times New Roman"/>
          <w:szCs w:val="32"/>
        </w:rPr>
        <w:t>“</w:t>
      </w:r>
      <w:r>
        <w:rPr>
          <w:rFonts w:ascii="Times New Roman" w:hAnsi="Times New Roman"/>
          <w:szCs w:val="32"/>
        </w:rPr>
        <w:t>交通+农业</w:t>
      </w:r>
      <w:r>
        <w:rPr>
          <w:rFonts w:hint="eastAsia" w:ascii="Times New Roman" w:hAnsi="Times New Roman"/>
          <w:szCs w:val="32"/>
        </w:rPr>
        <w:t>”</w:t>
      </w:r>
      <w:r>
        <w:rPr>
          <w:rFonts w:ascii="Times New Roman" w:hAnsi="Times New Roman"/>
          <w:szCs w:val="32"/>
        </w:rPr>
        <w:t>的农业产业道路250公里，推进三级货运物流体系建设，推进城乡客运、城乡货运一体化，助推乡村振兴。聚焦工业产业，</w:t>
      </w:r>
      <w:r>
        <w:rPr>
          <w:rFonts w:ascii="Times New Roman" w:hAnsi="Times New Roman"/>
          <w:kern w:val="0"/>
          <w:szCs w:val="32"/>
        </w:rPr>
        <w:t>推动建设</w:t>
      </w:r>
      <w:r>
        <w:rPr>
          <w:rFonts w:ascii="Times New Roman" w:hAnsi="Times New Roman"/>
          <w:szCs w:val="32"/>
        </w:rPr>
        <w:t xml:space="preserve">物流产业园区和码头连接路100公里、提升改造一批港口码头，做大水上物流，构建铁公水联运。 </w:t>
      </w:r>
    </w:p>
    <w:p w14:paraId="65FD0EC9">
      <w:pPr>
        <w:jc w:val="center"/>
        <w:rPr>
          <w:rFonts w:ascii="Times New Roman" w:hAnsi="Times New Roman"/>
          <w:szCs w:val="32"/>
        </w:rPr>
      </w:pPr>
      <w:r>
        <w:rPr>
          <w:rFonts w:ascii="Times New Roman" w:hAnsi="Times New Roman"/>
          <w:color w:val="000000"/>
          <w:kern w:val="0"/>
          <w:sz w:val="28"/>
          <w:szCs w:val="28"/>
        </w:rPr>
        <w:t>表3</w:t>
      </w:r>
      <w:r>
        <w:rPr>
          <w:rFonts w:hint="eastAsia" w:ascii="Times New Roman" w:hAnsi="Times New Roman"/>
          <w:color w:val="000000"/>
          <w:kern w:val="0"/>
          <w:sz w:val="28"/>
          <w:szCs w:val="28"/>
        </w:rPr>
        <w:t>-</w:t>
      </w:r>
      <w:r>
        <w:rPr>
          <w:rFonts w:ascii="Times New Roman" w:hAnsi="Times New Roman"/>
          <w:color w:val="000000"/>
          <w:kern w:val="0"/>
          <w:sz w:val="28"/>
          <w:szCs w:val="28"/>
        </w:rPr>
        <w:t>2   丰都县</w:t>
      </w:r>
      <w:r>
        <w:rPr>
          <w:rFonts w:hint="eastAsia" w:ascii="Times New Roman" w:hAnsi="Times New Roman"/>
          <w:color w:val="000000"/>
          <w:kern w:val="0"/>
          <w:sz w:val="28"/>
          <w:szCs w:val="28"/>
          <w:lang w:eastAsia="zh-CN"/>
        </w:rPr>
        <w:t>“十四五”</w:t>
      </w:r>
      <w:r>
        <w:rPr>
          <w:rFonts w:hint="eastAsia" w:ascii="Times New Roman" w:hAnsi="Times New Roman"/>
          <w:color w:val="000000"/>
          <w:kern w:val="0"/>
          <w:sz w:val="28"/>
          <w:szCs w:val="28"/>
        </w:rPr>
        <w:t>“</w:t>
      </w:r>
      <w:r>
        <w:rPr>
          <w:rFonts w:ascii="Times New Roman" w:hAnsi="Times New Roman"/>
          <w:color w:val="000000"/>
          <w:kern w:val="0"/>
          <w:sz w:val="28"/>
          <w:szCs w:val="28"/>
        </w:rPr>
        <w:t>交通+产业</w:t>
      </w:r>
      <w:r>
        <w:rPr>
          <w:rFonts w:hint="eastAsia" w:ascii="Times New Roman" w:hAnsi="Times New Roman"/>
          <w:color w:val="000000"/>
          <w:kern w:val="0"/>
          <w:sz w:val="28"/>
          <w:szCs w:val="28"/>
        </w:rPr>
        <w:t>”</w:t>
      </w:r>
      <w:r>
        <w:rPr>
          <w:rFonts w:ascii="Times New Roman" w:hAnsi="Times New Roman"/>
          <w:color w:val="000000"/>
          <w:kern w:val="0"/>
          <w:sz w:val="28"/>
          <w:szCs w:val="28"/>
        </w:rPr>
        <w:t>项目表</w:t>
      </w:r>
    </w:p>
    <w:tbl>
      <w:tblPr>
        <w:tblStyle w:val="13"/>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626"/>
        <w:gridCol w:w="2548"/>
        <w:gridCol w:w="1305"/>
        <w:gridCol w:w="1003"/>
        <w:gridCol w:w="982"/>
        <w:gridCol w:w="1960"/>
      </w:tblGrid>
      <w:tr w14:paraId="4AE7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blHeader/>
        </w:trPr>
        <w:tc>
          <w:tcPr>
            <w:tcW w:w="853" w:type="dxa"/>
            <w:vAlign w:val="center"/>
          </w:tcPr>
          <w:p w14:paraId="0219E30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融合发展类别</w:t>
            </w:r>
          </w:p>
        </w:tc>
        <w:tc>
          <w:tcPr>
            <w:tcW w:w="626" w:type="dxa"/>
            <w:vAlign w:val="center"/>
          </w:tcPr>
          <w:p w14:paraId="0BE6C77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项目 类别</w:t>
            </w:r>
          </w:p>
        </w:tc>
        <w:tc>
          <w:tcPr>
            <w:tcW w:w="2548" w:type="dxa"/>
            <w:vAlign w:val="center"/>
          </w:tcPr>
          <w:p w14:paraId="4CA4510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项目名称</w:t>
            </w:r>
          </w:p>
        </w:tc>
        <w:tc>
          <w:tcPr>
            <w:tcW w:w="1305" w:type="dxa"/>
            <w:vAlign w:val="center"/>
          </w:tcPr>
          <w:p w14:paraId="384B060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建设里程（公里）</w:t>
            </w:r>
          </w:p>
        </w:tc>
        <w:tc>
          <w:tcPr>
            <w:tcW w:w="1003" w:type="dxa"/>
            <w:vAlign w:val="center"/>
          </w:tcPr>
          <w:p w14:paraId="07817EB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总投资（亿元）</w:t>
            </w:r>
          </w:p>
        </w:tc>
        <w:tc>
          <w:tcPr>
            <w:tcW w:w="982" w:type="dxa"/>
            <w:vAlign w:val="center"/>
          </w:tcPr>
          <w:p w14:paraId="1D74876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“十四五”投资（亿元）</w:t>
            </w:r>
          </w:p>
        </w:tc>
        <w:tc>
          <w:tcPr>
            <w:tcW w:w="1960" w:type="dxa"/>
            <w:vAlign w:val="center"/>
          </w:tcPr>
          <w:p w14:paraId="73C09B4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规划类型</w:t>
            </w:r>
          </w:p>
        </w:tc>
      </w:tr>
      <w:tr w14:paraId="5A5F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restart"/>
            <w:vAlign w:val="center"/>
          </w:tcPr>
          <w:p w14:paraId="4566BCA8">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交</w:t>
            </w:r>
          </w:p>
          <w:p w14:paraId="6C9CFC57">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通     +</w:t>
            </w:r>
          </w:p>
          <w:p w14:paraId="42829599">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旅</w:t>
            </w:r>
          </w:p>
          <w:p w14:paraId="43AE333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游</w:t>
            </w:r>
          </w:p>
        </w:tc>
        <w:tc>
          <w:tcPr>
            <w:tcW w:w="626" w:type="dxa"/>
            <w:vMerge w:val="restart"/>
            <w:vAlign w:val="center"/>
          </w:tcPr>
          <w:p w14:paraId="41D1AF07">
            <w:pPr>
              <w:spacing w:line="40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高速</w:t>
            </w:r>
          </w:p>
        </w:tc>
        <w:tc>
          <w:tcPr>
            <w:tcW w:w="2548" w:type="dxa"/>
            <w:vAlign w:val="center"/>
          </w:tcPr>
          <w:p w14:paraId="7C42E2E1">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丰都游轮辅港至南天湖至仙女山机场高速</w:t>
            </w:r>
          </w:p>
        </w:tc>
        <w:tc>
          <w:tcPr>
            <w:tcW w:w="1305" w:type="dxa"/>
            <w:vAlign w:val="center"/>
          </w:tcPr>
          <w:p w14:paraId="734C8C3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41.0</w:t>
            </w:r>
          </w:p>
        </w:tc>
        <w:tc>
          <w:tcPr>
            <w:tcW w:w="1003" w:type="dxa"/>
            <w:vAlign w:val="center"/>
          </w:tcPr>
          <w:p w14:paraId="4B0E166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80.0</w:t>
            </w:r>
          </w:p>
        </w:tc>
        <w:tc>
          <w:tcPr>
            <w:tcW w:w="982" w:type="dxa"/>
            <w:vAlign w:val="center"/>
          </w:tcPr>
          <w:p w14:paraId="60A89F7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80.0</w:t>
            </w:r>
          </w:p>
        </w:tc>
        <w:tc>
          <w:tcPr>
            <w:tcW w:w="1960" w:type="dxa"/>
            <w:vAlign w:val="center"/>
          </w:tcPr>
          <w:p w14:paraId="3EC32BE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市级研究项目</w:t>
            </w:r>
          </w:p>
        </w:tc>
      </w:tr>
      <w:tr w14:paraId="597E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567BC1BA">
            <w:pPr>
              <w:spacing w:line="400" w:lineRule="exact"/>
              <w:jc w:val="center"/>
              <w:rPr>
                <w:rFonts w:ascii="宋体" w:hAnsi="宋体" w:eastAsia="宋体" w:cs="宋体"/>
                <w:color w:val="000000"/>
                <w:sz w:val="21"/>
                <w:szCs w:val="21"/>
              </w:rPr>
            </w:pPr>
          </w:p>
        </w:tc>
        <w:tc>
          <w:tcPr>
            <w:tcW w:w="626" w:type="dxa"/>
            <w:vMerge w:val="continue"/>
            <w:vAlign w:val="center"/>
          </w:tcPr>
          <w:p w14:paraId="27662ED6">
            <w:pPr>
              <w:spacing w:line="400" w:lineRule="exact"/>
              <w:jc w:val="center"/>
              <w:rPr>
                <w:rFonts w:ascii="宋体" w:hAnsi="宋体" w:eastAsia="宋体" w:cs="宋体"/>
                <w:color w:val="000000"/>
                <w:sz w:val="21"/>
                <w:szCs w:val="21"/>
              </w:rPr>
            </w:pPr>
          </w:p>
        </w:tc>
        <w:tc>
          <w:tcPr>
            <w:tcW w:w="2548" w:type="dxa"/>
            <w:vAlign w:val="center"/>
          </w:tcPr>
          <w:p w14:paraId="1C67554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丰彭高速路</w:t>
            </w:r>
          </w:p>
        </w:tc>
        <w:tc>
          <w:tcPr>
            <w:tcW w:w="1305" w:type="dxa"/>
            <w:vAlign w:val="center"/>
          </w:tcPr>
          <w:p w14:paraId="6F6BA37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15.0</w:t>
            </w:r>
          </w:p>
        </w:tc>
        <w:tc>
          <w:tcPr>
            <w:tcW w:w="1003" w:type="dxa"/>
            <w:vAlign w:val="center"/>
          </w:tcPr>
          <w:p w14:paraId="44EE08D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35.5</w:t>
            </w:r>
          </w:p>
        </w:tc>
        <w:tc>
          <w:tcPr>
            <w:tcW w:w="982" w:type="dxa"/>
            <w:vAlign w:val="center"/>
          </w:tcPr>
          <w:p w14:paraId="35D38FBB">
            <w:pPr>
              <w:spacing w:line="400" w:lineRule="exact"/>
              <w:jc w:val="center"/>
              <w:rPr>
                <w:rFonts w:ascii="宋体" w:hAnsi="宋体" w:eastAsia="宋体" w:cs="宋体"/>
                <w:color w:val="000000"/>
                <w:sz w:val="21"/>
                <w:szCs w:val="21"/>
              </w:rPr>
            </w:pPr>
          </w:p>
        </w:tc>
        <w:tc>
          <w:tcPr>
            <w:tcW w:w="1960" w:type="dxa"/>
            <w:vAlign w:val="center"/>
          </w:tcPr>
          <w:p w14:paraId="5FBA97C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市级研究项目</w:t>
            </w:r>
          </w:p>
        </w:tc>
      </w:tr>
      <w:tr w14:paraId="57FE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306B1FA4">
            <w:pPr>
              <w:spacing w:line="400" w:lineRule="exact"/>
              <w:jc w:val="center"/>
              <w:rPr>
                <w:rFonts w:ascii="宋体" w:hAnsi="宋体" w:eastAsia="宋体" w:cs="宋体"/>
                <w:color w:val="000000"/>
                <w:sz w:val="21"/>
                <w:szCs w:val="21"/>
              </w:rPr>
            </w:pPr>
          </w:p>
        </w:tc>
        <w:tc>
          <w:tcPr>
            <w:tcW w:w="626" w:type="dxa"/>
            <w:vMerge w:val="continue"/>
            <w:vAlign w:val="center"/>
          </w:tcPr>
          <w:p w14:paraId="2411979D">
            <w:pPr>
              <w:spacing w:line="400" w:lineRule="exact"/>
              <w:jc w:val="center"/>
              <w:rPr>
                <w:rFonts w:ascii="宋体" w:hAnsi="宋体" w:eastAsia="宋体" w:cs="宋体"/>
                <w:color w:val="000000"/>
                <w:sz w:val="21"/>
                <w:szCs w:val="21"/>
              </w:rPr>
            </w:pPr>
          </w:p>
        </w:tc>
        <w:tc>
          <w:tcPr>
            <w:tcW w:w="2548" w:type="dxa"/>
            <w:vAlign w:val="center"/>
          </w:tcPr>
          <w:p w14:paraId="30CA881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丰石旅游高速路</w:t>
            </w:r>
          </w:p>
        </w:tc>
        <w:tc>
          <w:tcPr>
            <w:tcW w:w="1305" w:type="dxa"/>
            <w:vAlign w:val="center"/>
          </w:tcPr>
          <w:p w14:paraId="36BCD83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26.6</w:t>
            </w:r>
          </w:p>
        </w:tc>
        <w:tc>
          <w:tcPr>
            <w:tcW w:w="1003" w:type="dxa"/>
            <w:vAlign w:val="center"/>
          </w:tcPr>
          <w:p w14:paraId="06960E4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55.2</w:t>
            </w:r>
          </w:p>
        </w:tc>
        <w:tc>
          <w:tcPr>
            <w:tcW w:w="982" w:type="dxa"/>
            <w:vAlign w:val="center"/>
          </w:tcPr>
          <w:p w14:paraId="6F4EECFD">
            <w:pPr>
              <w:spacing w:line="400" w:lineRule="exact"/>
              <w:jc w:val="center"/>
              <w:rPr>
                <w:rFonts w:ascii="宋体" w:hAnsi="宋体" w:eastAsia="宋体" w:cs="宋体"/>
                <w:color w:val="000000"/>
                <w:sz w:val="21"/>
                <w:szCs w:val="21"/>
              </w:rPr>
            </w:pPr>
          </w:p>
        </w:tc>
        <w:tc>
          <w:tcPr>
            <w:tcW w:w="1960" w:type="dxa"/>
            <w:vAlign w:val="center"/>
          </w:tcPr>
          <w:p w14:paraId="42DCE93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市级研究项目</w:t>
            </w:r>
          </w:p>
        </w:tc>
      </w:tr>
      <w:tr w14:paraId="4AB2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7A1D562F">
            <w:pPr>
              <w:spacing w:line="400" w:lineRule="exact"/>
              <w:jc w:val="center"/>
              <w:rPr>
                <w:rFonts w:ascii="宋体" w:hAnsi="宋体" w:eastAsia="宋体" w:cs="宋体"/>
                <w:color w:val="000000"/>
                <w:sz w:val="21"/>
                <w:szCs w:val="21"/>
              </w:rPr>
            </w:pPr>
          </w:p>
        </w:tc>
        <w:tc>
          <w:tcPr>
            <w:tcW w:w="3174" w:type="dxa"/>
            <w:gridSpan w:val="2"/>
            <w:vAlign w:val="center"/>
          </w:tcPr>
          <w:p w14:paraId="4667449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08CD26E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82.6</w:t>
            </w:r>
          </w:p>
        </w:tc>
        <w:tc>
          <w:tcPr>
            <w:tcW w:w="1003" w:type="dxa"/>
            <w:vAlign w:val="center"/>
          </w:tcPr>
          <w:p w14:paraId="40F96F4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170.7</w:t>
            </w:r>
          </w:p>
        </w:tc>
        <w:tc>
          <w:tcPr>
            <w:tcW w:w="982" w:type="dxa"/>
            <w:vAlign w:val="center"/>
          </w:tcPr>
          <w:p w14:paraId="3528675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80.0</w:t>
            </w:r>
          </w:p>
        </w:tc>
        <w:tc>
          <w:tcPr>
            <w:tcW w:w="1960" w:type="dxa"/>
            <w:vAlign w:val="center"/>
          </w:tcPr>
          <w:p w14:paraId="43F69112">
            <w:pPr>
              <w:spacing w:line="400" w:lineRule="exact"/>
              <w:jc w:val="center"/>
              <w:rPr>
                <w:rFonts w:ascii="宋体" w:hAnsi="宋体" w:eastAsia="宋体" w:cs="宋体"/>
                <w:color w:val="000000"/>
                <w:sz w:val="21"/>
                <w:szCs w:val="21"/>
              </w:rPr>
            </w:pPr>
          </w:p>
        </w:tc>
      </w:tr>
      <w:tr w14:paraId="0B87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48AECD08">
            <w:pPr>
              <w:spacing w:line="400" w:lineRule="exact"/>
              <w:jc w:val="center"/>
              <w:rPr>
                <w:rFonts w:ascii="宋体" w:hAnsi="宋体" w:eastAsia="宋体" w:cs="宋体"/>
                <w:color w:val="000000"/>
                <w:sz w:val="21"/>
                <w:szCs w:val="21"/>
              </w:rPr>
            </w:pPr>
          </w:p>
        </w:tc>
        <w:tc>
          <w:tcPr>
            <w:tcW w:w="626" w:type="dxa"/>
            <w:vAlign w:val="center"/>
          </w:tcPr>
          <w:p w14:paraId="52922EF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国道</w:t>
            </w:r>
          </w:p>
        </w:tc>
        <w:tc>
          <w:tcPr>
            <w:tcW w:w="2548" w:type="dxa"/>
            <w:vAlign w:val="center"/>
          </w:tcPr>
          <w:p w14:paraId="0B00CB51">
            <w:pPr>
              <w:spacing w:line="400" w:lineRule="exact"/>
              <w:jc w:val="center"/>
              <w:textAlignment w:val="center"/>
              <w:rPr>
                <w:rFonts w:ascii="宋体" w:hAnsi="宋体" w:eastAsia="宋体" w:cs="宋体"/>
                <w:color w:val="000000"/>
                <w:sz w:val="21"/>
                <w:szCs w:val="21"/>
              </w:rPr>
            </w:pPr>
            <w:r>
              <w:rPr>
                <w:rStyle w:val="17"/>
                <w:rFonts w:hint="eastAsia" w:ascii="宋体" w:hAnsi="宋体" w:cs="宋体"/>
                <w:sz w:val="21"/>
                <w:szCs w:val="21"/>
              </w:rPr>
              <w:t>G348</w:t>
            </w:r>
            <w:r>
              <w:rPr>
                <w:rStyle w:val="18"/>
                <w:rFonts w:hint="default"/>
                <w:sz w:val="21"/>
                <w:szCs w:val="21"/>
              </w:rPr>
              <w:t>古家店至长江大桥改线工程</w:t>
            </w:r>
          </w:p>
        </w:tc>
        <w:tc>
          <w:tcPr>
            <w:tcW w:w="1305" w:type="dxa"/>
            <w:vAlign w:val="center"/>
          </w:tcPr>
          <w:p w14:paraId="17F12E3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7.0</w:t>
            </w:r>
          </w:p>
        </w:tc>
        <w:tc>
          <w:tcPr>
            <w:tcW w:w="1003" w:type="dxa"/>
            <w:vAlign w:val="center"/>
          </w:tcPr>
          <w:p w14:paraId="6D76E6B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4.2</w:t>
            </w:r>
          </w:p>
        </w:tc>
        <w:tc>
          <w:tcPr>
            <w:tcW w:w="982" w:type="dxa"/>
            <w:vAlign w:val="center"/>
          </w:tcPr>
          <w:p w14:paraId="302B55F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4.2</w:t>
            </w:r>
          </w:p>
        </w:tc>
        <w:tc>
          <w:tcPr>
            <w:tcW w:w="1960" w:type="dxa"/>
            <w:vAlign w:val="center"/>
          </w:tcPr>
          <w:p w14:paraId="76769DC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市级储备项目</w:t>
            </w:r>
          </w:p>
        </w:tc>
      </w:tr>
      <w:tr w14:paraId="35BB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02338F36">
            <w:pPr>
              <w:spacing w:line="400" w:lineRule="exact"/>
              <w:jc w:val="center"/>
              <w:rPr>
                <w:rFonts w:ascii="宋体" w:hAnsi="宋体" w:eastAsia="宋体" w:cs="宋体"/>
                <w:color w:val="000000"/>
                <w:sz w:val="21"/>
                <w:szCs w:val="21"/>
              </w:rPr>
            </w:pPr>
          </w:p>
        </w:tc>
        <w:tc>
          <w:tcPr>
            <w:tcW w:w="3174" w:type="dxa"/>
            <w:gridSpan w:val="2"/>
            <w:vAlign w:val="center"/>
          </w:tcPr>
          <w:p w14:paraId="54B5A1F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58561A8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7.0</w:t>
            </w:r>
          </w:p>
        </w:tc>
        <w:tc>
          <w:tcPr>
            <w:tcW w:w="1003" w:type="dxa"/>
            <w:vAlign w:val="center"/>
          </w:tcPr>
          <w:p w14:paraId="1F08789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4.2</w:t>
            </w:r>
          </w:p>
        </w:tc>
        <w:tc>
          <w:tcPr>
            <w:tcW w:w="982" w:type="dxa"/>
            <w:vAlign w:val="center"/>
          </w:tcPr>
          <w:p w14:paraId="2A11E55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4.2</w:t>
            </w:r>
          </w:p>
        </w:tc>
        <w:tc>
          <w:tcPr>
            <w:tcW w:w="1960" w:type="dxa"/>
            <w:vAlign w:val="center"/>
          </w:tcPr>
          <w:p w14:paraId="0D90F71F">
            <w:pPr>
              <w:spacing w:line="400" w:lineRule="exact"/>
              <w:jc w:val="center"/>
              <w:rPr>
                <w:rFonts w:ascii="宋体" w:hAnsi="宋体" w:eastAsia="宋体" w:cs="宋体"/>
                <w:color w:val="000000"/>
                <w:sz w:val="21"/>
                <w:szCs w:val="21"/>
              </w:rPr>
            </w:pPr>
          </w:p>
        </w:tc>
      </w:tr>
      <w:tr w14:paraId="16E9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23889C19">
            <w:pPr>
              <w:spacing w:line="400" w:lineRule="exact"/>
              <w:jc w:val="center"/>
              <w:rPr>
                <w:rFonts w:ascii="宋体" w:hAnsi="宋体" w:eastAsia="宋体" w:cs="宋体"/>
                <w:color w:val="000000"/>
                <w:sz w:val="21"/>
                <w:szCs w:val="21"/>
              </w:rPr>
            </w:pPr>
          </w:p>
        </w:tc>
        <w:tc>
          <w:tcPr>
            <w:tcW w:w="626" w:type="dxa"/>
            <w:vMerge w:val="restart"/>
            <w:vAlign w:val="center"/>
          </w:tcPr>
          <w:p w14:paraId="1295490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省道</w:t>
            </w:r>
          </w:p>
        </w:tc>
        <w:tc>
          <w:tcPr>
            <w:tcW w:w="2548" w:type="dxa"/>
            <w:vAlign w:val="center"/>
          </w:tcPr>
          <w:p w14:paraId="4E1315AD">
            <w:pPr>
              <w:spacing w:line="400" w:lineRule="exact"/>
              <w:jc w:val="center"/>
              <w:textAlignment w:val="center"/>
              <w:rPr>
                <w:rFonts w:ascii="宋体" w:hAnsi="宋体" w:eastAsia="宋体" w:cs="宋体"/>
                <w:color w:val="000000"/>
                <w:sz w:val="21"/>
                <w:szCs w:val="21"/>
              </w:rPr>
            </w:pPr>
            <w:r>
              <w:rPr>
                <w:rStyle w:val="17"/>
                <w:rFonts w:hint="eastAsia" w:ascii="宋体" w:hAnsi="宋体" w:cs="宋体"/>
                <w:sz w:val="21"/>
                <w:szCs w:val="21"/>
              </w:rPr>
              <w:t>S520</w:t>
            </w:r>
            <w:r>
              <w:rPr>
                <w:rStyle w:val="18"/>
                <w:rFonts w:hint="default"/>
                <w:sz w:val="21"/>
                <w:szCs w:val="21"/>
              </w:rPr>
              <w:t>老鸦阡至厢坝</w:t>
            </w:r>
          </w:p>
        </w:tc>
        <w:tc>
          <w:tcPr>
            <w:tcW w:w="1305" w:type="dxa"/>
            <w:vAlign w:val="center"/>
          </w:tcPr>
          <w:p w14:paraId="562B0E1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26.0</w:t>
            </w:r>
          </w:p>
        </w:tc>
        <w:tc>
          <w:tcPr>
            <w:tcW w:w="1003" w:type="dxa"/>
            <w:vAlign w:val="center"/>
          </w:tcPr>
          <w:p w14:paraId="1EA281F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982" w:type="dxa"/>
            <w:vAlign w:val="center"/>
          </w:tcPr>
          <w:p w14:paraId="01FABCF1">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1960" w:type="dxa"/>
            <w:vAlign w:val="center"/>
          </w:tcPr>
          <w:p w14:paraId="74A8E44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5482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shd w:val="clear" w:color="auto" w:fill="auto"/>
            <w:vAlign w:val="center"/>
          </w:tcPr>
          <w:p w14:paraId="2088E7AA">
            <w:pPr>
              <w:spacing w:line="400" w:lineRule="exact"/>
              <w:jc w:val="center"/>
              <w:rPr>
                <w:rFonts w:ascii="宋体" w:hAnsi="宋体" w:eastAsia="宋体" w:cs="宋体"/>
                <w:color w:val="000000"/>
                <w:sz w:val="21"/>
                <w:szCs w:val="21"/>
              </w:rPr>
            </w:pPr>
          </w:p>
        </w:tc>
        <w:tc>
          <w:tcPr>
            <w:tcW w:w="626" w:type="dxa"/>
            <w:vMerge w:val="continue"/>
            <w:shd w:val="clear" w:color="auto" w:fill="auto"/>
            <w:vAlign w:val="center"/>
          </w:tcPr>
          <w:p w14:paraId="4C6A8BD7">
            <w:pPr>
              <w:spacing w:line="400" w:lineRule="exact"/>
              <w:jc w:val="center"/>
              <w:rPr>
                <w:rFonts w:ascii="宋体" w:hAnsi="宋体" w:eastAsia="宋体" w:cs="宋体"/>
                <w:color w:val="000000"/>
                <w:sz w:val="21"/>
                <w:szCs w:val="21"/>
              </w:rPr>
            </w:pPr>
          </w:p>
        </w:tc>
        <w:tc>
          <w:tcPr>
            <w:tcW w:w="2548" w:type="dxa"/>
            <w:shd w:val="clear" w:color="auto" w:fill="FFFFFF"/>
            <w:vAlign w:val="center"/>
          </w:tcPr>
          <w:p w14:paraId="298A53F2">
            <w:pPr>
              <w:spacing w:line="400" w:lineRule="exact"/>
              <w:jc w:val="center"/>
              <w:textAlignment w:val="center"/>
              <w:rPr>
                <w:rFonts w:ascii="宋体" w:hAnsi="宋体" w:eastAsia="宋体" w:cs="宋体"/>
                <w:color w:val="000000"/>
                <w:sz w:val="21"/>
                <w:szCs w:val="21"/>
              </w:rPr>
            </w:pPr>
            <w:r>
              <w:rPr>
                <w:rStyle w:val="19"/>
                <w:rFonts w:hint="eastAsia" w:ascii="宋体" w:hAnsi="宋体" w:cs="宋体"/>
                <w:sz w:val="21"/>
                <w:szCs w:val="21"/>
              </w:rPr>
              <w:t>S205</w:t>
            </w:r>
            <w:r>
              <w:rPr>
                <w:rFonts w:hint="eastAsia" w:ascii="宋体" w:hAnsi="宋体" w:eastAsia="宋体" w:cs="宋体"/>
                <w:color w:val="000000"/>
                <w:kern w:val="0"/>
                <w:sz w:val="21"/>
                <w:szCs w:val="21"/>
              </w:rPr>
              <w:t>垫武路马良大桥至武隆界</w:t>
            </w:r>
          </w:p>
        </w:tc>
        <w:tc>
          <w:tcPr>
            <w:tcW w:w="1305" w:type="dxa"/>
            <w:shd w:val="clear" w:color="auto" w:fill="FFFFFF"/>
            <w:vAlign w:val="center"/>
          </w:tcPr>
          <w:p w14:paraId="2670153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31.0</w:t>
            </w:r>
          </w:p>
        </w:tc>
        <w:tc>
          <w:tcPr>
            <w:tcW w:w="1003" w:type="dxa"/>
            <w:shd w:val="clear" w:color="auto" w:fill="FFFFFF"/>
            <w:vAlign w:val="center"/>
          </w:tcPr>
          <w:p w14:paraId="6253BFE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0.9</w:t>
            </w:r>
          </w:p>
        </w:tc>
        <w:tc>
          <w:tcPr>
            <w:tcW w:w="982" w:type="dxa"/>
            <w:shd w:val="clear" w:color="auto" w:fill="auto"/>
            <w:vAlign w:val="center"/>
          </w:tcPr>
          <w:p w14:paraId="36829069">
            <w:pPr>
              <w:spacing w:line="400" w:lineRule="exact"/>
              <w:jc w:val="center"/>
              <w:rPr>
                <w:rFonts w:ascii="宋体" w:hAnsi="宋体" w:eastAsia="宋体" w:cs="宋体"/>
                <w:color w:val="000000"/>
                <w:sz w:val="21"/>
                <w:szCs w:val="21"/>
              </w:rPr>
            </w:pPr>
          </w:p>
        </w:tc>
        <w:tc>
          <w:tcPr>
            <w:tcW w:w="1960" w:type="dxa"/>
            <w:shd w:val="clear" w:color="auto" w:fill="FFFFFF"/>
            <w:vAlign w:val="center"/>
          </w:tcPr>
          <w:p w14:paraId="179716F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县级储备项目</w:t>
            </w:r>
          </w:p>
        </w:tc>
      </w:tr>
      <w:tr w14:paraId="33BD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shd w:val="clear" w:color="auto" w:fill="auto"/>
            <w:vAlign w:val="center"/>
          </w:tcPr>
          <w:p w14:paraId="2B3AD999">
            <w:pPr>
              <w:spacing w:line="400" w:lineRule="exact"/>
              <w:jc w:val="center"/>
              <w:rPr>
                <w:rFonts w:ascii="宋体" w:hAnsi="宋体" w:eastAsia="宋体" w:cs="宋体"/>
                <w:color w:val="000000"/>
                <w:sz w:val="21"/>
                <w:szCs w:val="21"/>
              </w:rPr>
            </w:pPr>
          </w:p>
        </w:tc>
        <w:tc>
          <w:tcPr>
            <w:tcW w:w="626" w:type="dxa"/>
            <w:vMerge w:val="continue"/>
            <w:shd w:val="clear" w:color="auto" w:fill="auto"/>
            <w:vAlign w:val="center"/>
          </w:tcPr>
          <w:p w14:paraId="00BA5D98">
            <w:pPr>
              <w:spacing w:line="400" w:lineRule="exact"/>
              <w:jc w:val="center"/>
              <w:rPr>
                <w:rFonts w:ascii="宋体" w:hAnsi="宋体" w:eastAsia="宋体" w:cs="宋体"/>
                <w:color w:val="000000"/>
                <w:sz w:val="21"/>
                <w:szCs w:val="21"/>
              </w:rPr>
            </w:pPr>
          </w:p>
        </w:tc>
        <w:tc>
          <w:tcPr>
            <w:tcW w:w="2548" w:type="dxa"/>
            <w:shd w:val="clear" w:color="auto" w:fill="FFFFFF"/>
            <w:vAlign w:val="center"/>
          </w:tcPr>
          <w:p w14:paraId="51F94651">
            <w:pPr>
              <w:spacing w:line="400" w:lineRule="exact"/>
              <w:jc w:val="center"/>
              <w:textAlignment w:val="center"/>
              <w:rPr>
                <w:rFonts w:ascii="宋体" w:hAnsi="宋体" w:eastAsia="宋体" w:cs="宋体"/>
                <w:color w:val="000000"/>
                <w:sz w:val="21"/>
                <w:szCs w:val="21"/>
              </w:rPr>
            </w:pPr>
            <w:r>
              <w:rPr>
                <w:rStyle w:val="19"/>
                <w:rFonts w:hint="eastAsia" w:ascii="宋体" w:hAnsi="宋体" w:cs="宋体"/>
                <w:sz w:val="21"/>
                <w:szCs w:val="21"/>
              </w:rPr>
              <w:t>S518</w:t>
            </w:r>
            <w:r>
              <w:rPr>
                <w:rFonts w:hint="eastAsia" w:ascii="宋体" w:hAnsi="宋体" w:eastAsia="宋体" w:cs="宋体"/>
                <w:color w:val="000000"/>
                <w:kern w:val="0"/>
                <w:sz w:val="21"/>
                <w:szCs w:val="21"/>
              </w:rPr>
              <w:t>龙河至武平</w:t>
            </w:r>
          </w:p>
        </w:tc>
        <w:tc>
          <w:tcPr>
            <w:tcW w:w="1305" w:type="dxa"/>
            <w:shd w:val="clear" w:color="auto" w:fill="FFFFFF"/>
            <w:vAlign w:val="center"/>
          </w:tcPr>
          <w:p w14:paraId="2E941C9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16.0</w:t>
            </w:r>
          </w:p>
        </w:tc>
        <w:tc>
          <w:tcPr>
            <w:tcW w:w="1003" w:type="dxa"/>
            <w:shd w:val="clear" w:color="auto" w:fill="FFFFFF"/>
            <w:vAlign w:val="center"/>
          </w:tcPr>
          <w:p w14:paraId="6D4AEFA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982" w:type="dxa"/>
            <w:shd w:val="clear" w:color="auto" w:fill="auto"/>
            <w:vAlign w:val="center"/>
          </w:tcPr>
          <w:p w14:paraId="5F287403">
            <w:pPr>
              <w:spacing w:line="400" w:lineRule="exact"/>
              <w:jc w:val="center"/>
              <w:rPr>
                <w:rFonts w:ascii="宋体" w:hAnsi="宋体" w:eastAsia="宋体" w:cs="宋体"/>
                <w:color w:val="000000"/>
                <w:sz w:val="21"/>
                <w:szCs w:val="21"/>
              </w:rPr>
            </w:pPr>
          </w:p>
        </w:tc>
        <w:tc>
          <w:tcPr>
            <w:tcW w:w="1960" w:type="dxa"/>
            <w:shd w:val="clear" w:color="auto" w:fill="FFFFFF"/>
            <w:vAlign w:val="center"/>
          </w:tcPr>
          <w:p w14:paraId="1DE0912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县级储备项目</w:t>
            </w:r>
          </w:p>
        </w:tc>
      </w:tr>
      <w:tr w14:paraId="6F53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shd w:val="clear" w:color="auto" w:fill="auto"/>
            <w:vAlign w:val="center"/>
          </w:tcPr>
          <w:p w14:paraId="797DB0C6">
            <w:pPr>
              <w:spacing w:line="400" w:lineRule="exact"/>
              <w:jc w:val="center"/>
              <w:rPr>
                <w:rFonts w:ascii="宋体" w:hAnsi="宋体" w:eastAsia="宋体" w:cs="宋体"/>
                <w:color w:val="000000"/>
                <w:sz w:val="21"/>
                <w:szCs w:val="21"/>
              </w:rPr>
            </w:pPr>
          </w:p>
        </w:tc>
        <w:tc>
          <w:tcPr>
            <w:tcW w:w="626" w:type="dxa"/>
            <w:vMerge w:val="continue"/>
            <w:shd w:val="clear" w:color="auto" w:fill="auto"/>
            <w:vAlign w:val="center"/>
          </w:tcPr>
          <w:p w14:paraId="5053DB6D">
            <w:pPr>
              <w:spacing w:line="400" w:lineRule="exact"/>
              <w:jc w:val="center"/>
              <w:rPr>
                <w:rFonts w:ascii="宋体" w:hAnsi="宋体" w:eastAsia="宋体" w:cs="宋体"/>
                <w:color w:val="000000"/>
                <w:sz w:val="21"/>
                <w:szCs w:val="21"/>
              </w:rPr>
            </w:pPr>
          </w:p>
        </w:tc>
        <w:tc>
          <w:tcPr>
            <w:tcW w:w="2548" w:type="dxa"/>
            <w:shd w:val="clear" w:color="auto" w:fill="FFFFFF"/>
            <w:vAlign w:val="center"/>
          </w:tcPr>
          <w:p w14:paraId="5D156BAB">
            <w:pPr>
              <w:spacing w:line="400" w:lineRule="exact"/>
              <w:jc w:val="center"/>
              <w:textAlignment w:val="center"/>
              <w:rPr>
                <w:rFonts w:ascii="宋体" w:hAnsi="宋体" w:eastAsia="宋体" w:cs="宋体"/>
                <w:color w:val="000000"/>
                <w:sz w:val="21"/>
                <w:szCs w:val="21"/>
              </w:rPr>
            </w:pPr>
            <w:r>
              <w:rPr>
                <w:rStyle w:val="19"/>
                <w:rFonts w:hint="eastAsia" w:ascii="宋体" w:hAnsi="宋体" w:cs="宋体"/>
                <w:sz w:val="21"/>
                <w:szCs w:val="21"/>
              </w:rPr>
              <w:t>S519</w:t>
            </w:r>
            <w:r>
              <w:rPr>
                <w:rFonts w:hint="eastAsia" w:ascii="宋体" w:hAnsi="宋体" w:eastAsia="宋体" w:cs="宋体"/>
                <w:color w:val="000000"/>
                <w:kern w:val="0"/>
                <w:sz w:val="21"/>
                <w:szCs w:val="21"/>
              </w:rPr>
              <w:t>南天湖至武隆</w:t>
            </w:r>
          </w:p>
        </w:tc>
        <w:tc>
          <w:tcPr>
            <w:tcW w:w="1305" w:type="dxa"/>
            <w:shd w:val="clear" w:color="auto" w:fill="FFFFFF"/>
            <w:vAlign w:val="center"/>
          </w:tcPr>
          <w:p w14:paraId="4D6290A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1003" w:type="dxa"/>
            <w:shd w:val="clear" w:color="auto" w:fill="FFFFFF"/>
            <w:vAlign w:val="center"/>
          </w:tcPr>
          <w:p w14:paraId="274FA4A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2.4</w:t>
            </w:r>
          </w:p>
        </w:tc>
        <w:tc>
          <w:tcPr>
            <w:tcW w:w="982" w:type="dxa"/>
            <w:shd w:val="clear" w:color="auto" w:fill="auto"/>
            <w:vAlign w:val="center"/>
          </w:tcPr>
          <w:p w14:paraId="543BDFED">
            <w:pPr>
              <w:spacing w:line="400" w:lineRule="exact"/>
              <w:jc w:val="center"/>
              <w:rPr>
                <w:rFonts w:ascii="宋体" w:hAnsi="宋体" w:eastAsia="宋体" w:cs="宋体"/>
                <w:color w:val="000000"/>
                <w:sz w:val="21"/>
                <w:szCs w:val="21"/>
              </w:rPr>
            </w:pPr>
          </w:p>
        </w:tc>
        <w:tc>
          <w:tcPr>
            <w:tcW w:w="1960" w:type="dxa"/>
            <w:shd w:val="clear" w:color="auto" w:fill="FFFFFF"/>
            <w:vAlign w:val="center"/>
          </w:tcPr>
          <w:p w14:paraId="4BC6D44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县级储备项目</w:t>
            </w:r>
          </w:p>
        </w:tc>
      </w:tr>
      <w:tr w14:paraId="57EF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853" w:type="dxa"/>
            <w:vMerge w:val="continue"/>
            <w:shd w:val="clear" w:color="auto" w:fill="auto"/>
            <w:vAlign w:val="center"/>
          </w:tcPr>
          <w:p w14:paraId="1913C86B">
            <w:pPr>
              <w:spacing w:line="400" w:lineRule="exact"/>
              <w:jc w:val="center"/>
              <w:rPr>
                <w:rFonts w:ascii="宋体" w:hAnsi="宋体" w:eastAsia="宋体" w:cs="宋体"/>
                <w:color w:val="000000"/>
                <w:sz w:val="21"/>
                <w:szCs w:val="21"/>
              </w:rPr>
            </w:pPr>
          </w:p>
        </w:tc>
        <w:tc>
          <w:tcPr>
            <w:tcW w:w="626" w:type="dxa"/>
            <w:vMerge w:val="continue"/>
            <w:shd w:val="clear" w:color="auto" w:fill="auto"/>
            <w:vAlign w:val="center"/>
          </w:tcPr>
          <w:p w14:paraId="7898304D">
            <w:pPr>
              <w:spacing w:line="400" w:lineRule="exact"/>
              <w:jc w:val="center"/>
              <w:rPr>
                <w:rFonts w:ascii="宋体" w:hAnsi="宋体" w:eastAsia="宋体" w:cs="宋体"/>
                <w:color w:val="000000"/>
                <w:sz w:val="21"/>
                <w:szCs w:val="21"/>
              </w:rPr>
            </w:pPr>
          </w:p>
        </w:tc>
        <w:tc>
          <w:tcPr>
            <w:tcW w:w="2548" w:type="dxa"/>
            <w:shd w:val="clear" w:color="auto" w:fill="FFFFFF"/>
            <w:vAlign w:val="center"/>
          </w:tcPr>
          <w:p w14:paraId="49DB912C">
            <w:pPr>
              <w:spacing w:line="400" w:lineRule="exact"/>
              <w:jc w:val="center"/>
              <w:textAlignment w:val="center"/>
              <w:rPr>
                <w:rFonts w:ascii="宋体" w:hAnsi="宋体" w:eastAsia="宋体" w:cs="宋体"/>
                <w:color w:val="000000"/>
                <w:sz w:val="21"/>
                <w:szCs w:val="21"/>
              </w:rPr>
            </w:pPr>
            <w:r>
              <w:rPr>
                <w:rStyle w:val="17"/>
                <w:rFonts w:hint="eastAsia" w:ascii="宋体" w:hAnsi="宋体" w:cs="宋体"/>
                <w:sz w:val="21"/>
                <w:szCs w:val="21"/>
              </w:rPr>
              <w:t>S205</w:t>
            </w:r>
            <w:r>
              <w:rPr>
                <w:rStyle w:val="18"/>
                <w:rFonts w:hint="default"/>
                <w:sz w:val="21"/>
                <w:szCs w:val="21"/>
              </w:rPr>
              <w:t>垫武路龙河东至马良大桥</w:t>
            </w:r>
          </w:p>
        </w:tc>
        <w:tc>
          <w:tcPr>
            <w:tcW w:w="1305" w:type="dxa"/>
            <w:shd w:val="clear" w:color="auto" w:fill="FFFFFF"/>
            <w:vAlign w:val="center"/>
          </w:tcPr>
          <w:p w14:paraId="463CFDE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18.0</w:t>
            </w:r>
          </w:p>
        </w:tc>
        <w:tc>
          <w:tcPr>
            <w:tcW w:w="1003" w:type="dxa"/>
            <w:shd w:val="clear" w:color="auto" w:fill="FFFFFF"/>
            <w:vAlign w:val="center"/>
          </w:tcPr>
          <w:p w14:paraId="32D90FD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0.6</w:t>
            </w:r>
          </w:p>
        </w:tc>
        <w:tc>
          <w:tcPr>
            <w:tcW w:w="982" w:type="dxa"/>
            <w:shd w:val="clear" w:color="auto" w:fill="auto"/>
            <w:vAlign w:val="center"/>
          </w:tcPr>
          <w:p w14:paraId="1154A524">
            <w:pPr>
              <w:spacing w:line="400" w:lineRule="exact"/>
              <w:jc w:val="center"/>
              <w:rPr>
                <w:rFonts w:ascii="宋体" w:hAnsi="宋体" w:eastAsia="宋体" w:cs="宋体"/>
                <w:color w:val="000000"/>
                <w:sz w:val="21"/>
                <w:szCs w:val="21"/>
              </w:rPr>
            </w:pPr>
          </w:p>
        </w:tc>
        <w:tc>
          <w:tcPr>
            <w:tcW w:w="1960" w:type="dxa"/>
            <w:shd w:val="clear" w:color="auto" w:fill="FFFFFF"/>
            <w:vAlign w:val="center"/>
          </w:tcPr>
          <w:p w14:paraId="36FE125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县级储备项目</w:t>
            </w:r>
          </w:p>
        </w:tc>
      </w:tr>
      <w:tr w14:paraId="1105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trPr>
        <w:tc>
          <w:tcPr>
            <w:tcW w:w="853" w:type="dxa"/>
            <w:shd w:val="clear" w:color="auto" w:fill="auto"/>
            <w:vAlign w:val="center"/>
          </w:tcPr>
          <w:p w14:paraId="4B8E177C">
            <w:pPr>
              <w:spacing w:line="400" w:lineRule="exact"/>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交</w:t>
            </w:r>
          </w:p>
          <w:p w14:paraId="5C66246C">
            <w:pPr>
              <w:spacing w:line="400" w:lineRule="exact"/>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通     +</w:t>
            </w:r>
          </w:p>
          <w:p w14:paraId="4EA17D6A">
            <w:pPr>
              <w:spacing w:line="400" w:lineRule="exact"/>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旅</w:t>
            </w:r>
          </w:p>
          <w:p w14:paraId="4AA488C0">
            <w:pPr>
              <w:spacing w:line="400" w:lineRule="exact"/>
              <w:jc w:val="center"/>
              <w:rPr>
                <w:rFonts w:ascii="宋体" w:hAnsi="宋体" w:eastAsia="宋体" w:cs="宋体"/>
                <w:color w:val="000000"/>
                <w:sz w:val="21"/>
                <w:szCs w:val="21"/>
              </w:rPr>
            </w:pPr>
            <w:r>
              <w:rPr>
                <w:rFonts w:hint="eastAsia" w:ascii="宋体" w:hAnsi="宋体" w:eastAsia="宋体" w:cs="宋体"/>
                <w:color w:val="000000"/>
                <w:kern w:val="0"/>
                <w:sz w:val="21"/>
                <w:szCs w:val="21"/>
              </w:rPr>
              <w:t>游</w:t>
            </w:r>
          </w:p>
        </w:tc>
        <w:tc>
          <w:tcPr>
            <w:tcW w:w="3174" w:type="dxa"/>
            <w:gridSpan w:val="2"/>
            <w:shd w:val="clear" w:color="auto" w:fill="auto"/>
            <w:vAlign w:val="center"/>
          </w:tcPr>
          <w:p w14:paraId="04E78D7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shd w:val="clear" w:color="auto" w:fill="auto"/>
            <w:vAlign w:val="center"/>
          </w:tcPr>
          <w:p w14:paraId="1FEBB19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99.0</w:t>
            </w:r>
          </w:p>
        </w:tc>
        <w:tc>
          <w:tcPr>
            <w:tcW w:w="1003" w:type="dxa"/>
            <w:shd w:val="clear" w:color="auto" w:fill="auto"/>
            <w:vAlign w:val="center"/>
          </w:tcPr>
          <w:p w14:paraId="3F7C5BD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4.5</w:t>
            </w:r>
          </w:p>
        </w:tc>
        <w:tc>
          <w:tcPr>
            <w:tcW w:w="982" w:type="dxa"/>
            <w:shd w:val="clear" w:color="auto" w:fill="auto"/>
            <w:vAlign w:val="center"/>
          </w:tcPr>
          <w:p w14:paraId="60C1D3A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1960" w:type="dxa"/>
            <w:shd w:val="clear" w:color="auto" w:fill="FFFFFF"/>
            <w:vAlign w:val="center"/>
          </w:tcPr>
          <w:p w14:paraId="5F2BE57D">
            <w:pPr>
              <w:spacing w:line="400" w:lineRule="exact"/>
              <w:jc w:val="center"/>
              <w:rPr>
                <w:rFonts w:ascii="宋体" w:hAnsi="宋体" w:eastAsia="宋体" w:cs="宋体"/>
                <w:color w:val="000000"/>
                <w:sz w:val="21"/>
                <w:szCs w:val="21"/>
              </w:rPr>
            </w:pPr>
          </w:p>
        </w:tc>
      </w:tr>
      <w:tr w14:paraId="71FF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restart"/>
            <w:vAlign w:val="center"/>
          </w:tcPr>
          <w:p w14:paraId="08E4D8A9">
            <w:pPr>
              <w:spacing w:line="400" w:lineRule="exact"/>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交</w:t>
            </w:r>
          </w:p>
          <w:p w14:paraId="16E82BF3">
            <w:pPr>
              <w:spacing w:line="400" w:lineRule="exact"/>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通     +</w:t>
            </w:r>
          </w:p>
          <w:p w14:paraId="5F398139">
            <w:pPr>
              <w:spacing w:line="400" w:lineRule="exact"/>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旅</w:t>
            </w:r>
          </w:p>
          <w:p w14:paraId="33883A71">
            <w:pPr>
              <w:spacing w:line="400" w:lineRule="exact"/>
              <w:jc w:val="center"/>
              <w:rPr>
                <w:rFonts w:ascii="宋体" w:hAnsi="宋体" w:eastAsia="宋体" w:cs="宋体"/>
                <w:color w:val="000000"/>
                <w:sz w:val="21"/>
                <w:szCs w:val="21"/>
              </w:rPr>
            </w:pPr>
            <w:r>
              <w:rPr>
                <w:rFonts w:hint="eastAsia" w:ascii="宋体" w:hAnsi="宋体" w:eastAsia="宋体" w:cs="宋体"/>
                <w:color w:val="000000"/>
                <w:kern w:val="0"/>
                <w:sz w:val="21"/>
                <w:szCs w:val="21"/>
              </w:rPr>
              <w:t>游</w:t>
            </w:r>
          </w:p>
        </w:tc>
        <w:tc>
          <w:tcPr>
            <w:tcW w:w="626" w:type="dxa"/>
            <w:vMerge w:val="restart"/>
            <w:vAlign w:val="center"/>
          </w:tcPr>
          <w:p w14:paraId="16CC9CB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连接线</w:t>
            </w:r>
          </w:p>
        </w:tc>
        <w:tc>
          <w:tcPr>
            <w:tcW w:w="2548" w:type="dxa"/>
            <w:vAlign w:val="center"/>
          </w:tcPr>
          <w:p w14:paraId="211BE3AA">
            <w:pPr>
              <w:spacing w:line="400" w:lineRule="exact"/>
              <w:jc w:val="center"/>
              <w:textAlignment w:val="center"/>
              <w:rPr>
                <w:rFonts w:ascii="宋体" w:hAnsi="宋体" w:eastAsia="宋体" w:cs="宋体"/>
                <w:color w:val="000000"/>
                <w:sz w:val="21"/>
                <w:szCs w:val="21"/>
              </w:rPr>
            </w:pPr>
            <w:r>
              <w:rPr>
                <w:rStyle w:val="18"/>
                <w:rFonts w:hint="default"/>
                <w:sz w:val="21"/>
                <w:szCs w:val="21"/>
              </w:rPr>
              <w:t>垫丰武高速三建互通至</w:t>
            </w:r>
            <w:r>
              <w:rPr>
                <w:rStyle w:val="17"/>
                <w:rFonts w:hint="eastAsia" w:ascii="宋体" w:hAnsi="宋体" w:cs="宋体"/>
                <w:sz w:val="21"/>
                <w:szCs w:val="21"/>
              </w:rPr>
              <w:t>S102</w:t>
            </w:r>
            <w:r>
              <w:rPr>
                <w:rStyle w:val="18"/>
                <w:rFonts w:hint="default"/>
                <w:sz w:val="21"/>
                <w:szCs w:val="21"/>
              </w:rPr>
              <w:t>连接线</w:t>
            </w:r>
          </w:p>
        </w:tc>
        <w:tc>
          <w:tcPr>
            <w:tcW w:w="1305" w:type="dxa"/>
            <w:vAlign w:val="center"/>
          </w:tcPr>
          <w:p w14:paraId="7C58FFB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5.0</w:t>
            </w:r>
          </w:p>
        </w:tc>
        <w:tc>
          <w:tcPr>
            <w:tcW w:w="1003" w:type="dxa"/>
            <w:vAlign w:val="center"/>
          </w:tcPr>
          <w:p w14:paraId="3365088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0.9</w:t>
            </w:r>
          </w:p>
        </w:tc>
        <w:tc>
          <w:tcPr>
            <w:tcW w:w="982" w:type="dxa"/>
            <w:vAlign w:val="center"/>
          </w:tcPr>
          <w:p w14:paraId="3C3FE41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0.9</w:t>
            </w:r>
          </w:p>
        </w:tc>
        <w:tc>
          <w:tcPr>
            <w:tcW w:w="1960" w:type="dxa"/>
            <w:vAlign w:val="center"/>
          </w:tcPr>
          <w:p w14:paraId="0D91933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0774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49F19706">
            <w:pPr>
              <w:spacing w:line="400" w:lineRule="exact"/>
              <w:jc w:val="center"/>
              <w:rPr>
                <w:rFonts w:ascii="宋体" w:hAnsi="宋体" w:eastAsia="宋体" w:cs="宋体"/>
                <w:color w:val="000000"/>
                <w:sz w:val="21"/>
                <w:szCs w:val="21"/>
              </w:rPr>
            </w:pPr>
          </w:p>
        </w:tc>
        <w:tc>
          <w:tcPr>
            <w:tcW w:w="626" w:type="dxa"/>
            <w:vMerge w:val="continue"/>
            <w:vAlign w:val="center"/>
          </w:tcPr>
          <w:p w14:paraId="3ED0FF3B">
            <w:pPr>
              <w:spacing w:line="400" w:lineRule="exact"/>
              <w:jc w:val="center"/>
              <w:rPr>
                <w:rFonts w:ascii="宋体" w:hAnsi="宋体" w:eastAsia="宋体" w:cs="宋体"/>
                <w:color w:val="000000"/>
                <w:sz w:val="21"/>
                <w:szCs w:val="21"/>
              </w:rPr>
            </w:pPr>
          </w:p>
        </w:tc>
        <w:tc>
          <w:tcPr>
            <w:tcW w:w="2548" w:type="dxa"/>
            <w:vAlign w:val="center"/>
          </w:tcPr>
          <w:p w14:paraId="43B026F1">
            <w:pPr>
              <w:spacing w:line="400" w:lineRule="exact"/>
              <w:jc w:val="center"/>
              <w:textAlignment w:val="center"/>
              <w:rPr>
                <w:rFonts w:ascii="宋体" w:hAnsi="宋体" w:eastAsia="宋体" w:cs="宋体"/>
                <w:color w:val="000000"/>
                <w:sz w:val="21"/>
                <w:szCs w:val="21"/>
              </w:rPr>
            </w:pPr>
            <w:r>
              <w:rPr>
                <w:rStyle w:val="18"/>
                <w:rFonts w:hint="default"/>
                <w:sz w:val="21"/>
                <w:szCs w:val="21"/>
              </w:rPr>
              <w:t>垫丰武高速暨龙互通至</w:t>
            </w:r>
            <w:r>
              <w:rPr>
                <w:rStyle w:val="17"/>
                <w:rFonts w:hint="eastAsia" w:ascii="宋体" w:hAnsi="宋体" w:cs="宋体"/>
                <w:sz w:val="21"/>
                <w:szCs w:val="21"/>
              </w:rPr>
              <w:t>S520</w:t>
            </w:r>
            <w:r>
              <w:rPr>
                <w:rStyle w:val="18"/>
                <w:rFonts w:hint="default"/>
                <w:sz w:val="21"/>
                <w:szCs w:val="21"/>
              </w:rPr>
              <w:t>连接线</w:t>
            </w:r>
          </w:p>
        </w:tc>
        <w:tc>
          <w:tcPr>
            <w:tcW w:w="1305" w:type="dxa"/>
            <w:vAlign w:val="center"/>
          </w:tcPr>
          <w:p w14:paraId="3FC00EC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2.0</w:t>
            </w:r>
          </w:p>
        </w:tc>
        <w:tc>
          <w:tcPr>
            <w:tcW w:w="1003" w:type="dxa"/>
            <w:vAlign w:val="center"/>
          </w:tcPr>
          <w:p w14:paraId="6D0AD73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0.4</w:t>
            </w:r>
          </w:p>
        </w:tc>
        <w:tc>
          <w:tcPr>
            <w:tcW w:w="982" w:type="dxa"/>
            <w:vAlign w:val="center"/>
          </w:tcPr>
          <w:p w14:paraId="5CB6C2E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0.4</w:t>
            </w:r>
          </w:p>
        </w:tc>
        <w:tc>
          <w:tcPr>
            <w:tcW w:w="1960" w:type="dxa"/>
            <w:vAlign w:val="center"/>
          </w:tcPr>
          <w:p w14:paraId="3D50BBD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0BDD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008C0E77">
            <w:pPr>
              <w:spacing w:line="400" w:lineRule="exact"/>
              <w:jc w:val="center"/>
              <w:rPr>
                <w:rFonts w:ascii="宋体" w:hAnsi="宋体" w:eastAsia="宋体" w:cs="宋体"/>
                <w:color w:val="000000"/>
                <w:sz w:val="21"/>
                <w:szCs w:val="21"/>
              </w:rPr>
            </w:pPr>
          </w:p>
        </w:tc>
        <w:tc>
          <w:tcPr>
            <w:tcW w:w="3174" w:type="dxa"/>
            <w:gridSpan w:val="2"/>
            <w:vAlign w:val="center"/>
          </w:tcPr>
          <w:p w14:paraId="10DE8F1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25583E4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7.0</w:t>
            </w:r>
          </w:p>
        </w:tc>
        <w:tc>
          <w:tcPr>
            <w:tcW w:w="1003" w:type="dxa"/>
            <w:vAlign w:val="center"/>
          </w:tcPr>
          <w:p w14:paraId="50314B5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1.3</w:t>
            </w:r>
          </w:p>
        </w:tc>
        <w:tc>
          <w:tcPr>
            <w:tcW w:w="982" w:type="dxa"/>
            <w:vAlign w:val="center"/>
          </w:tcPr>
          <w:p w14:paraId="1AB37DC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1.3</w:t>
            </w:r>
          </w:p>
        </w:tc>
        <w:tc>
          <w:tcPr>
            <w:tcW w:w="1960" w:type="dxa"/>
            <w:vAlign w:val="center"/>
          </w:tcPr>
          <w:p w14:paraId="487D639B">
            <w:pPr>
              <w:spacing w:line="400" w:lineRule="exact"/>
              <w:jc w:val="center"/>
              <w:rPr>
                <w:rFonts w:ascii="宋体" w:hAnsi="宋体" w:eastAsia="宋体" w:cs="宋体"/>
                <w:color w:val="000000"/>
                <w:sz w:val="21"/>
                <w:szCs w:val="21"/>
              </w:rPr>
            </w:pPr>
          </w:p>
        </w:tc>
      </w:tr>
      <w:tr w14:paraId="4132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5BC6D02C">
            <w:pPr>
              <w:spacing w:line="400" w:lineRule="exact"/>
              <w:jc w:val="center"/>
              <w:rPr>
                <w:rFonts w:ascii="宋体" w:hAnsi="宋体" w:eastAsia="宋体" w:cs="宋体"/>
                <w:color w:val="000000"/>
                <w:sz w:val="21"/>
                <w:szCs w:val="21"/>
              </w:rPr>
            </w:pPr>
          </w:p>
        </w:tc>
        <w:tc>
          <w:tcPr>
            <w:tcW w:w="626" w:type="dxa"/>
            <w:vAlign w:val="center"/>
          </w:tcPr>
          <w:p w14:paraId="7A2D943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县道</w:t>
            </w:r>
          </w:p>
        </w:tc>
        <w:tc>
          <w:tcPr>
            <w:tcW w:w="2548" w:type="dxa"/>
            <w:vAlign w:val="center"/>
          </w:tcPr>
          <w:p w14:paraId="641BE7B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双路至莲花</w:t>
            </w:r>
          </w:p>
        </w:tc>
        <w:tc>
          <w:tcPr>
            <w:tcW w:w="1305" w:type="dxa"/>
            <w:vAlign w:val="center"/>
          </w:tcPr>
          <w:p w14:paraId="5612666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11.0</w:t>
            </w:r>
          </w:p>
        </w:tc>
        <w:tc>
          <w:tcPr>
            <w:tcW w:w="1003" w:type="dxa"/>
            <w:vAlign w:val="center"/>
          </w:tcPr>
          <w:p w14:paraId="6DA1366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982" w:type="dxa"/>
            <w:vAlign w:val="center"/>
          </w:tcPr>
          <w:p w14:paraId="66B6449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1960" w:type="dxa"/>
            <w:vAlign w:val="center"/>
          </w:tcPr>
          <w:p w14:paraId="32B15B6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06AB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41CCCF90">
            <w:pPr>
              <w:spacing w:line="400" w:lineRule="exact"/>
              <w:jc w:val="center"/>
              <w:rPr>
                <w:rFonts w:ascii="宋体" w:hAnsi="宋体" w:eastAsia="宋体" w:cs="宋体"/>
                <w:color w:val="000000"/>
                <w:sz w:val="21"/>
                <w:szCs w:val="21"/>
              </w:rPr>
            </w:pPr>
          </w:p>
        </w:tc>
        <w:tc>
          <w:tcPr>
            <w:tcW w:w="3174" w:type="dxa"/>
            <w:gridSpan w:val="2"/>
            <w:vAlign w:val="center"/>
          </w:tcPr>
          <w:p w14:paraId="414ED85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414D2B9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11.0</w:t>
            </w:r>
          </w:p>
        </w:tc>
        <w:tc>
          <w:tcPr>
            <w:tcW w:w="1003" w:type="dxa"/>
            <w:vAlign w:val="center"/>
          </w:tcPr>
          <w:p w14:paraId="364871C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982" w:type="dxa"/>
            <w:vAlign w:val="center"/>
          </w:tcPr>
          <w:p w14:paraId="2B4A9D2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1960" w:type="dxa"/>
            <w:vAlign w:val="center"/>
          </w:tcPr>
          <w:p w14:paraId="5BAB6D78">
            <w:pPr>
              <w:spacing w:line="400" w:lineRule="exact"/>
              <w:jc w:val="center"/>
              <w:rPr>
                <w:rFonts w:ascii="宋体" w:hAnsi="宋体" w:eastAsia="宋体" w:cs="宋体"/>
                <w:color w:val="000000"/>
                <w:sz w:val="21"/>
                <w:szCs w:val="21"/>
              </w:rPr>
            </w:pPr>
          </w:p>
        </w:tc>
      </w:tr>
      <w:tr w14:paraId="5DA2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1B9197F8">
            <w:pPr>
              <w:spacing w:line="400" w:lineRule="exact"/>
              <w:jc w:val="center"/>
              <w:rPr>
                <w:rFonts w:ascii="宋体" w:hAnsi="宋体" w:eastAsia="宋体" w:cs="宋体"/>
                <w:color w:val="000000"/>
                <w:sz w:val="21"/>
                <w:szCs w:val="21"/>
              </w:rPr>
            </w:pPr>
          </w:p>
        </w:tc>
        <w:tc>
          <w:tcPr>
            <w:tcW w:w="626" w:type="dxa"/>
            <w:vMerge w:val="restart"/>
            <w:vAlign w:val="center"/>
          </w:tcPr>
          <w:p w14:paraId="6E73089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乡村道</w:t>
            </w:r>
          </w:p>
        </w:tc>
        <w:tc>
          <w:tcPr>
            <w:tcW w:w="2548" w:type="dxa"/>
            <w:vAlign w:val="center"/>
          </w:tcPr>
          <w:p w14:paraId="1B1563F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双路连天栈道公路</w:t>
            </w:r>
          </w:p>
        </w:tc>
        <w:tc>
          <w:tcPr>
            <w:tcW w:w="1305" w:type="dxa"/>
            <w:vAlign w:val="center"/>
          </w:tcPr>
          <w:p w14:paraId="4A5E90F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1003" w:type="dxa"/>
            <w:vAlign w:val="center"/>
          </w:tcPr>
          <w:p w14:paraId="6CF85531">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982" w:type="dxa"/>
            <w:vAlign w:val="center"/>
          </w:tcPr>
          <w:p w14:paraId="07049B2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1960" w:type="dxa"/>
            <w:vAlign w:val="center"/>
          </w:tcPr>
          <w:p w14:paraId="66C8CF9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2019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7F3A87C8">
            <w:pPr>
              <w:spacing w:line="400" w:lineRule="exact"/>
              <w:jc w:val="center"/>
              <w:rPr>
                <w:rFonts w:ascii="宋体" w:hAnsi="宋体" w:eastAsia="宋体" w:cs="宋体"/>
                <w:color w:val="000000"/>
                <w:sz w:val="21"/>
                <w:szCs w:val="21"/>
              </w:rPr>
            </w:pPr>
          </w:p>
        </w:tc>
        <w:tc>
          <w:tcPr>
            <w:tcW w:w="626" w:type="dxa"/>
            <w:vMerge w:val="continue"/>
            <w:vAlign w:val="center"/>
          </w:tcPr>
          <w:p w14:paraId="618D028A">
            <w:pPr>
              <w:spacing w:line="400" w:lineRule="exact"/>
              <w:jc w:val="center"/>
              <w:rPr>
                <w:rFonts w:ascii="宋体" w:hAnsi="宋体" w:eastAsia="宋体" w:cs="宋体"/>
                <w:color w:val="000000"/>
                <w:sz w:val="21"/>
                <w:szCs w:val="21"/>
              </w:rPr>
            </w:pPr>
          </w:p>
        </w:tc>
        <w:tc>
          <w:tcPr>
            <w:tcW w:w="2548" w:type="dxa"/>
            <w:vAlign w:val="center"/>
          </w:tcPr>
          <w:p w14:paraId="2F5D30E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何家坝至太平</w:t>
            </w:r>
          </w:p>
        </w:tc>
        <w:tc>
          <w:tcPr>
            <w:tcW w:w="1305" w:type="dxa"/>
            <w:vAlign w:val="center"/>
          </w:tcPr>
          <w:p w14:paraId="2C96A74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1003" w:type="dxa"/>
            <w:vAlign w:val="center"/>
          </w:tcPr>
          <w:p w14:paraId="62811B9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982" w:type="dxa"/>
            <w:vAlign w:val="center"/>
          </w:tcPr>
          <w:p w14:paraId="271B5F4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1960" w:type="dxa"/>
            <w:vAlign w:val="center"/>
          </w:tcPr>
          <w:p w14:paraId="2C8F3DF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7C00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21002234">
            <w:pPr>
              <w:spacing w:line="400" w:lineRule="exact"/>
              <w:jc w:val="center"/>
              <w:rPr>
                <w:rFonts w:ascii="宋体" w:hAnsi="宋体" w:eastAsia="宋体" w:cs="宋体"/>
                <w:color w:val="000000"/>
                <w:sz w:val="21"/>
                <w:szCs w:val="21"/>
              </w:rPr>
            </w:pPr>
          </w:p>
        </w:tc>
        <w:tc>
          <w:tcPr>
            <w:tcW w:w="626" w:type="dxa"/>
            <w:vMerge w:val="continue"/>
            <w:vAlign w:val="center"/>
          </w:tcPr>
          <w:p w14:paraId="3154602F">
            <w:pPr>
              <w:spacing w:line="400" w:lineRule="exact"/>
              <w:jc w:val="center"/>
              <w:rPr>
                <w:rFonts w:ascii="宋体" w:hAnsi="宋体" w:eastAsia="宋体" w:cs="宋体"/>
                <w:color w:val="000000"/>
                <w:sz w:val="21"/>
                <w:szCs w:val="21"/>
              </w:rPr>
            </w:pPr>
          </w:p>
        </w:tc>
        <w:tc>
          <w:tcPr>
            <w:tcW w:w="2548" w:type="dxa"/>
            <w:vAlign w:val="center"/>
          </w:tcPr>
          <w:p w14:paraId="6641881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包鸾经飞仙洞到大竹林</w:t>
            </w:r>
          </w:p>
        </w:tc>
        <w:tc>
          <w:tcPr>
            <w:tcW w:w="1305" w:type="dxa"/>
            <w:vAlign w:val="center"/>
          </w:tcPr>
          <w:p w14:paraId="475633E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9.0</w:t>
            </w:r>
          </w:p>
        </w:tc>
        <w:tc>
          <w:tcPr>
            <w:tcW w:w="1003" w:type="dxa"/>
            <w:vAlign w:val="center"/>
          </w:tcPr>
          <w:p w14:paraId="1933656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982" w:type="dxa"/>
            <w:vAlign w:val="center"/>
          </w:tcPr>
          <w:p w14:paraId="232A519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1960" w:type="dxa"/>
            <w:vAlign w:val="center"/>
          </w:tcPr>
          <w:p w14:paraId="3CC9E18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2617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shd w:val="clear" w:color="auto" w:fill="auto"/>
            <w:vAlign w:val="center"/>
          </w:tcPr>
          <w:p w14:paraId="086A7A44">
            <w:pPr>
              <w:spacing w:line="400" w:lineRule="exact"/>
              <w:jc w:val="center"/>
              <w:rPr>
                <w:rFonts w:ascii="宋体" w:hAnsi="宋体" w:eastAsia="宋体" w:cs="宋体"/>
                <w:color w:val="000000"/>
                <w:sz w:val="21"/>
                <w:szCs w:val="21"/>
              </w:rPr>
            </w:pPr>
          </w:p>
        </w:tc>
        <w:tc>
          <w:tcPr>
            <w:tcW w:w="626" w:type="dxa"/>
            <w:vMerge w:val="continue"/>
            <w:shd w:val="clear" w:color="auto" w:fill="auto"/>
            <w:vAlign w:val="center"/>
          </w:tcPr>
          <w:p w14:paraId="11039883">
            <w:pPr>
              <w:spacing w:line="400" w:lineRule="exact"/>
              <w:jc w:val="center"/>
              <w:rPr>
                <w:rFonts w:ascii="宋体" w:hAnsi="宋体" w:eastAsia="宋体" w:cs="宋体"/>
                <w:color w:val="000000"/>
                <w:sz w:val="21"/>
                <w:szCs w:val="21"/>
              </w:rPr>
            </w:pPr>
          </w:p>
        </w:tc>
        <w:tc>
          <w:tcPr>
            <w:tcW w:w="2548" w:type="dxa"/>
            <w:shd w:val="clear" w:color="auto" w:fill="auto"/>
            <w:vAlign w:val="center"/>
          </w:tcPr>
          <w:p w14:paraId="1B9BD3D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包鸾至涪陵大木旅游公路</w:t>
            </w:r>
          </w:p>
        </w:tc>
        <w:tc>
          <w:tcPr>
            <w:tcW w:w="1305" w:type="dxa"/>
            <w:shd w:val="clear" w:color="auto" w:fill="auto"/>
            <w:vAlign w:val="center"/>
          </w:tcPr>
          <w:p w14:paraId="7DB9C68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16.0</w:t>
            </w:r>
          </w:p>
        </w:tc>
        <w:tc>
          <w:tcPr>
            <w:tcW w:w="1003" w:type="dxa"/>
            <w:shd w:val="clear" w:color="auto" w:fill="auto"/>
            <w:vAlign w:val="center"/>
          </w:tcPr>
          <w:p w14:paraId="5E4AB4A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0.5</w:t>
            </w:r>
          </w:p>
        </w:tc>
        <w:tc>
          <w:tcPr>
            <w:tcW w:w="982" w:type="dxa"/>
            <w:shd w:val="clear" w:color="auto" w:fill="auto"/>
            <w:vAlign w:val="center"/>
          </w:tcPr>
          <w:p w14:paraId="245ADA28">
            <w:pPr>
              <w:spacing w:line="400" w:lineRule="exact"/>
              <w:jc w:val="center"/>
              <w:rPr>
                <w:rFonts w:ascii="宋体" w:hAnsi="宋体" w:eastAsia="宋体" w:cs="宋体"/>
                <w:color w:val="000000"/>
                <w:sz w:val="21"/>
                <w:szCs w:val="21"/>
              </w:rPr>
            </w:pPr>
          </w:p>
        </w:tc>
        <w:tc>
          <w:tcPr>
            <w:tcW w:w="1960" w:type="dxa"/>
            <w:shd w:val="clear" w:color="auto" w:fill="FFFFFF"/>
            <w:vAlign w:val="center"/>
          </w:tcPr>
          <w:p w14:paraId="4CC057E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县级储备项目</w:t>
            </w:r>
          </w:p>
        </w:tc>
      </w:tr>
      <w:tr w14:paraId="73A1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shd w:val="clear" w:color="auto" w:fill="auto"/>
            <w:vAlign w:val="center"/>
          </w:tcPr>
          <w:p w14:paraId="0C244CF2">
            <w:pPr>
              <w:spacing w:line="400" w:lineRule="exact"/>
              <w:jc w:val="center"/>
              <w:rPr>
                <w:rFonts w:ascii="宋体" w:hAnsi="宋体" w:eastAsia="宋体" w:cs="宋体"/>
                <w:color w:val="000000"/>
                <w:sz w:val="21"/>
                <w:szCs w:val="21"/>
              </w:rPr>
            </w:pPr>
          </w:p>
        </w:tc>
        <w:tc>
          <w:tcPr>
            <w:tcW w:w="3174" w:type="dxa"/>
            <w:gridSpan w:val="2"/>
            <w:shd w:val="clear" w:color="auto" w:fill="auto"/>
            <w:vAlign w:val="center"/>
          </w:tcPr>
          <w:p w14:paraId="7F7F1D5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shd w:val="clear" w:color="auto" w:fill="auto"/>
            <w:vAlign w:val="center"/>
          </w:tcPr>
          <w:p w14:paraId="109AE27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41.0</w:t>
            </w:r>
          </w:p>
        </w:tc>
        <w:tc>
          <w:tcPr>
            <w:tcW w:w="1003" w:type="dxa"/>
            <w:shd w:val="clear" w:color="auto" w:fill="auto"/>
            <w:vAlign w:val="center"/>
          </w:tcPr>
          <w:p w14:paraId="6295699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1.0</w:t>
            </w:r>
          </w:p>
        </w:tc>
        <w:tc>
          <w:tcPr>
            <w:tcW w:w="982" w:type="dxa"/>
            <w:shd w:val="clear" w:color="auto" w:fill="auto"/>
            <w:vAlign w:val="center"/>
          </w:tcPr>
          <w:p w14:paraId="3A3E821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0.5</w:t>
            </w:r>
          </w:p>
        </w:tc>
        <w:tc>
          <w:tcPr>
            <w:tcW w:w="1960" w:type="dxa"/>
            <w:shd w:val="clear" w:color="auto" w:fill="FFFFFF"/>
            <w:vAlign w:val="center"/>
          </w:tcPr>
          <w:p w14:paraId="70E449EA">
            <w:pPr>
              <w:spacing w:line="400" w:lineRule="exact"/>
              <w:jc w:val="center"/>
              <w:rPr>
                <w:rFonts w:ascii="宋体" w:hAnsi="宋体" w:eastAsia="宋体" w:cs="宋体"/>
                <w:color w:val="000000"/>
                <w:sz w:val="21"/>
                <w:szCs w:val="21"/>
              </w:rPr>
            </w:pPr>
          </w:p>
        </w:tc>
      </w:tr>
      <w:tr w14:paraId="6D80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shd w:val="clear" w:color="auto" w:fill="auto"/>
            <w:vAlign w:val="center"/>
          </w:tcPr>
          <w:p w14:paraId="3CB62E73">
            <w:pPr>
              <w:spacing w:line="400" w:lineRule="exact"/>
              <w:jc w:val="center"/>
              <w:rPr>
                <w:rFonts w:ascii="宋体" w:hAnsi="宋体" w:eastAsia="宋体" w:cs="宋体"/>
                <w:color w:val="000000"/>
                <w:sz w:val="21"/>
                <w:szCs w:val="21"/>
              </w:rPr>
            </w:pPr>
          </w:p>
        </w:tc>
        <w:tc>
          <w:tcPr>
            <w:tcW w:w="3174" w:type="dxa"/>
            <w:gridSpan w:val="2"/>
            <w:shd w:val="clear" w:color="auto" w:fill="auto"/>
            <w:vAlign w:val="center"/>
          </w:tcPr>
          <w:p w14:paraId="4428A6B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合  计</w:t>
            </w:r>
          </w:p>
        </w:tc>
        <w:tc>
          <w:tcPr>
            <w:tcW w:w="1305" w:type="dxa"/>
            <w:shd w:val="clear" w:color="auto" w:fill="auto"/>
            <w:vAlign w:val="center"/>
          </w:tcPr>
          <w:p w14:paraId="31327A2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247.6</w:t>
            </w:r>
          </w:p>
        </w:tc>
        <w:tc>
          <w:tcPr>
            <w:tcW w:w="1003" w:type="dxa"/>
            <w:shd w:val="clear" w:color="auto" w:fill="auto"/>
            <w:vAlign w:val="center"/>
          </w:tcPr>
          <w:p w14:paraId="1C1F32A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181.9</w:t>
            </w:r>
          </w:p>
        </w:tc>
        <w:tc>
          <w:tcPr>
            <w:tcW w:w="982" w:type="dxa"/>
            <w:shd w:val="clear" w:color="auto" w:fill="auto"/>
            <w:vAlign w:val="center"/>
          </w:tcPr>
          <w:p w14:paraId="2A8544C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86.5</w:t>
            </w:r>
          </w:p>
        </w:tc>
        <w:tc>
          <w:tcPr>
            <w:tcW w:w="1960" w:type="dxa"/>
            <w:shd w:val="clear" w:color="auto" w:fill="FFFFFF"/>
            <w:vAlign w:val="center"/>
          </w:tcPr>
          <w:p w14:paraId="385D5AFE">
            <w:pPr>
              <w:spacing w:line="400" w:lineRule="exact"/>
              <w:jc w:val="center"/>
              <w:rPr>
                <w:rFonts w:ascii="宋体" w:hAnsi="宋体" w:eastAsia="宋体" w:cs="宋体"/>
                <w:color w:val="000000"/>
                <w:sz w:val="21"/>
                <w:szCs w:val="21"/>
              </w:rPr>
            </w:pPr>
          </w:p>
        </w:tc>
      </w:tr>
      <w:tr w14:paraId="7DBB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853" w:type="dxa"/>
            <w:vMerge w:val="restart"/>
            <w:vAlign w:val="center"/>
          </w:tcPr>
          <w:p w14:paraId="01FFC1CC">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交</w:t>
            </w:r>
          </w:p>
          <w:p w14:paraId="644F5A1C">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通</w:t>
            </w:r>
          </w:p>
          <w:p w14:paraId="0427E8BD">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w:t>
            </w:r>
          </w:p>
          <w:p w14:paraId="5B3A0A1C">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w:t>
            </w:r>
          </w:p>
          <w:p w14:paraId="34ECEB8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业</w:t>
            </w:r>
          </w:p>
        </w:tc>
        <w:tc>
          <w:tcPr>
            <w:tcW w:w="626" w:type="dxa"/>
            <w:vMerge w:val="restart"/>
            <w:vAlign w:val="center"/>
          </w:tcPr>
          <w:p w14:paraId="06CA26F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省道</w:t>
            </w:r>
          </w:p>
        </w:tc>
        <w:tc>
          <w:tcPr>
            <w:tcW w:w="2548" w:type="dxa"/>
            <w:vAlign w:val="center"/>
          </w:tcPr>
          <w:p w14:paraId="67C33266">
            <w:pPr>
              <w:spacing w:line="400" w:lineRule="exact"/>
              <w:jc w:val="center"/>
              <w:textAlignment w:val="center"/>
              <w:rPr>
                <w:rFonts w:ascii="宋体" w:hAnsi="宋体" w:eastAsia="宋体" w:cs="宋体"/>
                <w:color w:val="000000"/>
                <w:kern w:val="0"/>
                <w:sz w:val="21"/>
                <w:szCs w:val="21"/>
              </w:rPr>
            </w:pPr>
            <w:r>
              <w:rPr>
                <w:rStyle w:val="19"/>
                <w:rFonts w:hint="eastAsia" w:ascii="宋体" w:hAnsi="宋体" w:cs="宋体"/>
                <w:sz w:val="21"/>
                <w:szCs w:val="21"/>
              </w:rPr>
              <w:t>S205</w:t>
            </w:r>
            <w:r>
              <w:rPr>
                <w:rFonts w:hint="eastAsia" w:ascii="宋体" w:hAnsi="宋体" w:eastAsia="宋体" w:cs="宋体"/>
                <w:color w:val="000000"/>
                <w:kern w:val="0"/>
                <w:sz w:val="21"/>
                <w:szCs w:val="21"/>
              </w:rPr>
              <w:t>垫武路社坛至</w:t>
            </w:r>
          </w:p>
          <w:p w14:paraId="7FF58D5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古家店</w:t>
            </w:r>
          </w:p>
        </w:tc>
        <w:tc>
          <w:tcPr>
            <w:tcW w:w="1305" w:type="dxa"/>
            <w:vAlign w:val="center"/>
          </w:tcPr>
          <w:p w14:paraId="57D6C3F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28.9</w:t>
            </w:r>
          </w:p>
        </w:tc>
        <w:tc>
          <w:tcPr>
            <w:tcW w:w="1003" w:type="dxa"/>
            <w:vAlign w:val="center"/>
          </w:tcPr>
          <w:p w14:paraId="000D274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2.2</w:t>
            </w:r>
          </w:p>
        </w:tc>
        <w:tc>
          <w:tcPr>
            <w:tcW w:w="982" w:type="dxa"/>
            <w:vAlign w:val="center"/>
          </w:tcPr>
          <w:p w14:paraId="7287C225">
            <w:pPr>
              <w:spacing w:line="400" w:lineRule="exact"/>
              <w:jc w:val="center"/>
              <w:textAlignment w:val="center"/>
              <w:rPr>
                <w:rFonts w:ascii="宋体" w:hAnsi="宋体" w:eastAsia="宋体" w:cs="宋体"/>
                <w:color w:val="000000"/>
                <w:sz w:val="21"/>
                <w:szCs w:val="21"/>
              </w:rPr>
            </w:pPr>
          </w:p>
        </w:tc>
        <w:tc>
          <w:tcPr>
            <w:tcW w:w="1960" w:type="dxa"/>
            <w:vAlign w:val="center"/>
          </w:tcPr>
          <w:p w14:paraId="437E76D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县级储备项目</w:t>
            </w:r>
          </w:p>
        </w:tc>
      </w:tr>
      <w:tr w14:paraId="46E5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shd w:val="clear" w:color="auto" w:fill="auto"/>
            <w:vAlign w:val="center"/>
          </w:tcPr>
          <w:p w14:paraId="20A0579E">
            <w:pPr>
              <w:spacing w:line="400" w:lineRule="exact"/>
              <w:jc w:val="center"/>
              <w:rPr>
                <w:rFonts w:ascii="宋体" w:hAnsi="宋体" w:eastAsia="宋体" w:cs="宋体"/>
                <w:color w:val="000000"/>
                <w:sz w:val="21"/>
                <w:szCs w:val="21"/>
              </w:rPr>
            </w:pPr>
          </w:p>
        </w:tc>
        <w:tc>
          <w:tcPr>
            <w:tcW w:w="626" w:type="dxa"/>
            <w:vMerge w:val="continue"/>
            <w:shd w:val="clear" w:color="auto" w:fill="auto"/>
            <w:vAlign w:val="center"/>
          </w:tcPr>
          <w:p w14:paraId="26738AED">
            <w:pPr>
              <w:spacing w:line="400" w:lineRule="exact"/>
              <w:jc w:val="center"/>
              <w:rPr>
                <w:rFonts w:ascii="宋体" w:hAnsi="宋体" w:eastAsia="宋体" w:cs="宋体"/>
                <w:color w:val="000000"/>
                <w:sz w:val="21"/>
                <w:szCs w:val="21"/>
              </w:rPr>
            </w:pPr>
          </w:p>
        </w:tc>
        <w:tc>
          <w:tcPr>
            <w:tcW w:w="2548" w:type="dxa"/>
            <w:shd w:val="clear" w:color="auto" w:fill="FFFFFF"/>
            <w:vAlign w:val="center"/>
          </w:tcPr>
          <w:p w14:paraId="5FE25C0F">
            <w:pPr>
              <w:spacing w:line="400" w:lineRule="exact"/>
              <w:jc w:val="center"/>
              <w:textAlignment w:val="center"/>
              <w:rPr>
                <w:rFonts w:ascii="宋体" w:hAnsi="宋体" w:eastAsia="宋体" w:cs="宋体"/>
                <w:color w:val="000000"/>
                <w:sz w:val="21"/>
                <w:szCs w:val="21"/>
              </w:rPr>
            </w:pPr>
            <w:r>
              <w:rPr>
                <w:rStyle w:val="19"/>
                <w:rFonts w:hint="eastAsia" w:ascii="宋体" w:hAnsi="宋体" w:cs="宋体"/>
                <w:sz w:val="21"/>
                <w:szCs w:val="21"/>
              </w:rPr>
              <w:t>S204</w:t>
            </w:r>
            <w:r>
              <w:rPr>
                <w:rFonts w:hint="eastAsia" w:ascii="宋体" w:hAnsi="宋体" w:eastAsia="宋体" w:cs="宋体"/>
                <w:color w:val="000000"/>
                <w:kern w:val="0"/>
                <w:sz w:val="21"/>
                <w:szCs w:val="21"/>
              </w:rPr>
              <w:t>忠县界至高镇加油站</w:t>
            </w:r>
          </w:p>
        </w:tc>
        <w:tc>
          <w:tcPr>
            <w:tcW w:w="1305" w:type="dxa"/>
            <w:shd w:val="clear" w:color="auto" w:fill="FFFFFF"/>
            <w:vAlign w:val="center"/>
          </w:tcPr>
          <w:p w14:paraId="55F5A6B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19.0</w:t>
            </w:r>
          </w:p>
        </w:tc>
        <w:tc>
          <w:tcPr>
            <w:tcW w:w="1003" w:type="dxa"/>
            <w:shd w:val="clear" w:color="auto" w:fill="FFFFFF"/>
            <w:vAlign w:val="center"/>
          </w:tcPr>
          <w:p w14:paraId="52A55C4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0.5</w:t>
            </w:r>
          </w:p>
        </w:tc>
        <w:tc>
          <w:tcPr>
            <w:tcW w:w="982" w:type="dxa"/>
            <w:shd w:val="clear" w:color="auto" w:fill="auto"/>
            <w:vAlign w:val="center"/>
          </w:tcPr>
          <w:p w14:paraId="0AEAF12E">
            <w:pPr>
              <w:spacing w:line="400" w:lineRule="exact"/>
              <w:jc w:val="center"/>
              <w:rPr>
                <w:rFonts w:ascii="宋体" w:hAnsi="宋体" w:eastAsia="宋体" w:cs="宋体"/>
                <w:color w:val="000000"/>
                <w:sz w:val="21"/>
                <w:szCs w:val="21"/>
              </w:rPr>
            </w:pPr>
          </w:p>
        </w:tc>
        <w:tc>
          <w:tcPr>
            <w:tcW w:w="1960" w:type="dxa"/>
            <w:shd w:val="clear" w:color="auto" w:fill="FFFFFF"/>
            <w:vAlign w:val="center"/>
          </w:tcPr>
          <w:p w14:paraId="1A6F620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县级储备项目</w:t>
            </w:r>
          </w:p>
        </w:tc>
      </w:tr>
      <w:tr w14:paraId="7459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shd w:val="clear" w:color="auto" w:fill="auto"/>
            <w:vAlign w:val="center"/>
          </w:tcPr>
          <w:p w14:paraId="4161441A">
            <w:pPr>
              <w:spacing w:line="400" w:lineRule="exact"/>
              <w:jc w:val="center"/>
              <w:rPr>
                <w:rFonts w:ascii="宋体" w:hAnsi="宋体" w:eastAsia="宋体" w:cs="宋体"/>
                <w:color w:val="000000"/>
                <w:sz w:val="21"/>
                <w:szCs w:val="21"/>
              </w:rPr>
            </w:pPr>
          </w:p>
        </w:tc>
        <w:tc>
          <w:tcPr>
            <w:tcW w:w="3174" w:type="dxa"/>
            <w:gridSpan w:val="2"/>
            <w:shd w:val="clear" w:color="auto" w:fill="auto"/>
            <w:vAlign w:val="center"/>
          </w:tcPr>
          <w:p w14:paraId="3607500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shd w:val="clear" w:color="auto" w:fill="auto"/>
            <w:vAlign w:val="center"/>
          </w:tcPr>
          <w:p w14:paraId="2A6053E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47.9</w:t>
            </w:r>
          </w:p>
        </w:tc>
        <w:tc>
          <w:tcPr>
            <w:tcW w:w="1003" w:type="dxa"/>
            <w:shd w:val="clear" w:color="auto" w:fill="auto"/>
            <w:vAlign w:val="center"/>
          </w:tcPr>
          <w:p w14:paraId="5D49679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2.7</w:t>
            </w:r>
          </w:p>
        </w:tc>
        <w:tc>
          <w:tcPr>
            <w:tcW w:w="982" w:type="dxa"/>
            <w:shd w:val="clear" w:color="auto" w:fill="auto"/>
            <w:vAlign w:val="center"/>
          </w:tcPr>
          <w:p w14:paraId="5246E952">
            <w:pPr>
              <w:spacing w:line="400" w:lineRule="exact"/>
              <w:jc w:val="center"/>
              <w:textAlignment w:val="center"/>
              <w:rPr>
                <w:rFonts w:ascii="宋体" w:hAnsi="宋体" w:eastAsia="宋体" w:cs="宋体"/>
                <w:color w:val="000000"/>
                <w:sz w:val="21"/>
                <w:szCs w:val="21"/>
              </w:rPr>
            </w:pPr>
          </w:p>
        </w:tc>
        <w:tc>
          <w:tcPr>
            <w:tcW w:w="1960" w:type="dxa"/>
            <w:shd w:val="clear" w:color="auto" w:fill="FFFFFF"/>
            <w:vAlign w:val="center"/>
          </w:tcPr>
          <w:p w14:paraId="117026D1">
            <w:pPr>
              <w:spacing w:line="400" w:lineRule="exact"/>
              <w:jc w:val="center"/>
              <w:rPr>
                <w:rFonts w:ascii="宋体" w:hAnsi="宋体" w:eastAsia="宋体" w:cs="宋体"/>
                <w:color w:val="000000"/>
                <w:sz w:val="21"/>
                <w:szCs w:val="21"/>
              </w:rPr>
            </w:pPr>
          </w:p>
        </w:tc>
      </w:tr>
      <w:tr w14:paraId="7071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4C1E6986">
            <w:pPr>
              <w:spacing w:line="400" w:lineRule="exact"/>
              <w:jc w:val="center"/>
              <w:rPr>
                <w:rFonts w:ascii="宋体" w:hAnsi="宋体" w:eastAsia="宋体" w:cs="宋体"/>
                <w:color w:val="000000"/>
                <w:sz w:val="21"/>
                <w:szCs w:val="21"/>
              </w:rPr>
            </w:pPr>
          </w:p>
        </w:tc>
        <w:tc>
          <w:tcPr>
            <w:tcW w:w="626" w:type="dxa"/>
            <w:vMerge w:val="restart"/>
            <w:vAlign w:val="center"/>
          </w:tcPr>
          <w:p w14:paraId="174C8418">
            <w:pPr>
              <w:spacing w:line="400" w:lineRule="exact"/>
              <w:jc w:val="center"/>
              <w:textAlignment w:val="center"/>
              <w:rPr>
                <w:rFonts w:ascii="宋体" w:hAnsi="宋体" w:eastAsia="宋体" w:cs="宋体"/>
                <w:color w:val="000000"/>
                <w:kern w:val="0"/>
                <w:sz w:val="21"/>
                <w:szCs w:val="21"/>
              </w:rPr>
            </w:pPr>
          </w:p>
          <w:p w14:paraId="7DAC42C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连接线</w:t>
            </w:r>
          </w:p>
        </w:tc>
        <w:tc>
          <w:tcPr>
            <w:tcW w:w="2548" w:type="dxa"/>
            <w:vAlign w:val="center"/>
          </w:tcPr>
          <w:p w14:paraId="6A1961CB">
            <w:pPr>
              <w:spacing w:line="400" w:lineRule="exact"/>
              <w:jc w:val="center"/>
              <w:textAlignment w:val="center"/>
              <w:rPr>
                <w:rFonts w:ascii="宋体" w:hAnsi="宋体" w:eastAsia="宋体" w:cs="宋体"/>
                <w:color w:val="000000"/>
                <w:sz w:val="21"/>
                <w:szCs w:val="21"/>
              </w:rPr>
            </w:pPr>
            <w:r>
              <w:rPr>
                <w:rStyle w:val="18"/>
                <w:rFonts w:hint="default"/>
                <w:sz w:val="21"/>
                <w:szCs w:val="21"/>
              </w:rPr>
              <w:t>垫丰武高速社坛互通至</w:t>
            </w:r>
            <w:r>
              <w:rPr>
                <w:rStyle w:val="17"/>
                <w:rFonts w:hint="eastAsia" w:ascii="宋体" w:hAnsi="宋体" w:cs="宋体"/>
                <w:sz w:val="21"/>
                <w:szCs w:val="21"/>
              </w:rPr>
              <w:t>S205</w:t>
            </w:r>
            <w:r>
              <w:rPr>
                <w:rStyle w:val="18"/>
                <w:rFonts w:hint="default"/>
                <w:sz w:val="21"/>
                <w:szCs w:val="21"/>
              </w:rPr>
              <w:t>连接线</w:t>
            </w:r>
          </w:p>
        </w:tc>
        <w:tc>
          <w:tcPr>
            <w:tcW w:w="1305" w:type="dxa"/>
            <w:vAlign w:val="center"/>
          </w:tcPr>
          <w:p w14:paraId="026BDC4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1003" w:type="dxa"/>
            <w:vAlign w:val="center"/>
          </w:tcPr>
          <w:p w14:paraId="5D1FF61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1.2</w:t>
            </w:r>
          </w:p>
        </w:tc>
        <w:tc>
          <w:tcPr>
            <w:tcW w:w="982" w:type="dxa"/>
            <w:vAlign w:val="center"/>
          </w:tcPr>
          <w:p w14:paraId="59EF4D7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1.2</w:t>
            </w:r>
          </w:p>
        </w:tc>
        <w:tc>
          <w:tcPr>
            <w:tcW w:w="1960" w:type="dxa"/>
            <w:vAlign w:val="center"/>
          </w:tcPr>
          <w:p w14:paraId="333AD5F1">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4C46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46A52BDF">
            <w:pPr>
              <w:spacing w:line="400" w:lineRule="exact"/>
              <w:jc w:val="center"/>
              <w:rPr>
                <w:rFonts w:ascii="宋体" w:hAnsi="宋体" w:eastAsia="宋体" w:cs="宋体"/>
                <w:color w:val="000000"/>
                <w:sz w:val="21"/>
                <w:szCs w:val="21"/>
              </w:rPr>
            </w:pPr>
          </w:p>
        </w:tc>
        <w:tc>
          <w:tcPr>
            <w:tcW w:w="626" w:type="dxa"/>
            <w:vMerge w:val="continue"/>
            <w:vAlign w:val="center"/>
          </w:tcPr>
          <w:p w14:paraId="42C3D05D">
            <w:pPr>
              <w:spacing w:line="400" w:lineRule="exact"/>
              <w:jc w:val="center"/>
              <w:rPr>
                <w:rFonts w:ascii="宋体" w:hAnsi="宋体" w:eastAsia="宋体" w:cs="宋体"/>
                <w:color w:val="000000"/>
                <w:sz w:val="21"/>
                <w:szCs w:val="21"/>
              </w:rPr>
            </w:pPr>
          </w:p>
        </w:tc>
        <w:tc>
          <w:tcPr>
            <w:tcW w:w="2548" w:type="dxa"/>
            <w:vAlign w:val="center"/>
          </w:tcPr>
          <w:p w14:paraId="18ECBA5D">
            <w:pPr>
              <w:spacing w:line="400" w:lineRule="exact"/>
              <w:jc w:val="center"/>
              <w:textAlignment w:val="center"/>
              <w:rPr>
                <w:rFonts w:ascii="宋体" w:hAnsi="宋体" w:eastAsia="宋体" w:cs="宋体"/>
                <w:color w:val="000000"/>
                <w:sz w:val="21"/>
                <w:szCs w:val="21"/>
              </w:rPr>
            </w:pPr>
            <w:r>
              <w:rPr>
                <w:rStyle w:val="18"/>
                <w:rFonts w:hint="default"/>
                <w:sz w:val="21"/>
                <w:szCs w:val="21"/>
              </w:rPr>
              <w:t>垫丰武高速保合盖灵庙互通至</w:t>
            </w:r>
            <w:r>
              <w:rPr>
                <w:rStyle w:val="17"/>
                <w:rFonts w:hint="eastAsia" w:ascii="宋体" w:hAnsi="宋体" w:cs="宋体"/>
                <w:sz w:val="21"/>
                <w:szCs w:val="21"/>
              </w:rPr>
              <w:t>S205</w:t>
            </w:r>
            <w:r>
              <w:rPr>
                <w:rStyle w:val="18"/>
                <w:rFonts w:hint="default"/>
                <w:sz w:val="21"/>
                <w:szCs w:val="21"/>
              </w:rPr>
              <w:t>连接线</w:t>
            </w:r>
          </w:p>
        </w:tc>
        <w:tc>
          <w:tcPr>
            <w:tcW w:w="1305" w:type="dxa"/>
            <w:vAlign w:val="center"/>
          </w:tcPr>
          <w:p w14:paraId="529C0F6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1003" w:type="dxa"/>
            <w:vAlign w:val="center"/>
          </w:tcPr>
          <w:p w14:paraId="1D72394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0.9</w:t>
            </w:r>
          </w:p>
        </w:tc>
        <w:tc>
          <w:tcPr>
            <w:tcW w:w="982" w:type="dxa"/>
            <w:vAlign w:val="center"/>
          </w:tcPr>
          <w:p w14:paraId="4E9B461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0.9</w:t>
            </w:r>
          </w:p>
        </w:tc>
        <w:tc>
          <w:tcPr>
            <w:tcW w:w="1960" w:type="dxa"/>
            <w:vAlign w:val="center"/>
          </w:tcPr>
          <w:p w14:paraId="5965C0B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041E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restart"/>
            <w:vAlign w:val="center"/>
          </w:tcPr>
          <w:p w14:paraId="70BB2622">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交</w:t>
            </w:r>
          </w:p>
          <w:p w14:paraId="4E024124">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通</w:t>
            </w:r>
          </w:p>
          <w:p w14:paraId="695FD129">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w:t>
            </w:r>
          </w:p>
          <w:p w14:paraId="7076C90D">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w:t>
            </w:r>
          </w:p>
          <w:p w14:paraId="184F16B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业</w:t>
            </w:r>
          </w:p>
        </w:tc>
        <w:tc>
          <w:tcPr>
            <w:tcW w:w="626" w:type="dxa"/>
            <w:vMerge w:val="continue"/>
            <w:vAlign w:val="center"/>
          </w:tcPr>
          <w:p w14:paraId="0B13EF43">
            <w:pPr>
              <w:spacing w:line="400" w:lineRule="exact"/>
              <w:jc w:val="center"/>
              <w:rPr>
                <w:rFonts w:ascii="宋体" w:hAnsi="宋体" w:eastAsia="宋体" w:cs="宋体"/>
                <w:color w:val="000000"/>
                <w:sz w:val="21"/>
                <w:szCs w:val="21"/>
              </w:rPr>
            </w:pPr>
          </w:p>
        </w:tc>
        <w:tc>
          <w:tcPr>
            <w:tcW w:w="2548" w:type="dxa"/>
            <w:vAlign w:val="center"/>
          </w:tcPr>
          <w:p w14:paraId="3917D24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垫丰武高速树人互通连接线</w:t>
            </w:r>
          </w:p>
        </w:tc>
        <w:tc>
          <w:tcPr>
            <w:tcW w:w="1305" w:type="dxa"/>
            <w:vAlign w:val="center"/>
          </w:tcPr>
          <w:p w14:paraId="4AF0A7F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2.0</w:t>
            </w:r>
          </w:p>
        </w:tc>
        <w:tc>
          <w:tcPr>
            <w:tcW w:w="1003" w:type="dxa"/>
            <w:vAlign w:val="center"/>
          </w:tcPr>
          <w:p w14:paraId="422DA6E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0.4</w:t>
            </w:r>
          </w:p>
        </w:tc>
        <w:tc>
          <w:tcPr>
            <w:tcW w:w="982" w:type="dxa"/>
            <w:vAlign w:val="center"/>
          </w:tcPr>
          <w:p w14:paraId="1E7B306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0.4</w:t>
            </w:r>
          </w:p>
        </w:tc>
        <w:tc>
          <w:tcPr>
            <w:tcW w:w="1960" w:type="dxa"/>
            <w:vAlign w:val="center"/>
          </w:tcPr>
          <w:p w14:paraId="3645594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31A5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79A5018E">
            <w:pPr>
              <w:spacing w:line="400" w:lineRule="exact"/>
              <w:jc w:val="center"/>
              <w:rPr>
                <w:rFonts w:ascii="宋体" w:hAnsi="宋体" w:eastAsia="宋体" w:cs="宋体"/>
                <w:color w:val="000000"/>
                <w:sz w:val="21"/>
                <w:szCs w:val="21"/>
              </w:rPr>
            </w:pPr>
          </w:p>
        </w:tc>
        <w:tc>
          <w:tcPr>
            <w:tcW w:w="626" w:type="dxa"/>
            <w:vMerge w:val="continue"/>
            <w:vAlign w:val="center"/>
          </w:tcPr>
          <w:p w14:paraId="057213E5">
            <w:pPr>
              <w:spacing w:line="400" w:lineRule="exact"/>
              <w:jc w:val="center"/>
              <w:rPr>
                <w:rFonts w:ascii="宋体" w:hAnsi="宋体" w:eastAsia="宋体" w:cs="宋体"/>
                <w:color w:val="000000"/>
                <w:sz w:val="21"/>
                <w:szCs w:val="21"/>
              </w:rPr>
            </w:pPr>
          </w:p>
        </w:tc>
        <w:tc>
          <w:tcPr>
            <w:tcW w:w="2548" w:type="dxa"/>
            <w:vAlign w:val="center"/>
          </w:tcPr>
          <w:p w14:paraId="1B1D850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“1+4+X”重点产业园区连接路</w:t>
            </w:r>
          </w:p>
        </w:tc>
        <w:tc>
          <w:tcPr>
            <w:tcW w:w="1305" w:type="dxa"/>
            <w:vAlign w:val="center"/>
          </w:tcPr>
          <w:p w14:paraId="41CFF8E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70.0</w:t>
            </w:r>
          </w:p>
        </w:tc>
        <w:tc>
          <w:tcPr>
            <w:tcW w:w="1003" w:type="dxa"/>
            <w:vAlign w:val="center"/>
          </w:tcPr>
          <w:p w14:paraId="1087E96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1.4</w:t>
            </w:r>
          </w:p>
        </w:tc>
        <w:tc>
          <w:tcPr>
            <w:tcW w:w="982" w:type="dxa"/>
            <w:vAlign w:val="center"/>
          </w:tcPr>
          <w:p w14:paraId="64B3F2D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1.4</w:t>
            </w:r>
          </w:p>
        </w:tc>
        <w:tc>
          <w:tcPr>
            <w:tcW w:w="1960" w:type="dxa"/>
            <w:vAlign w:val="center"/>
          </w:tcPr>
          <w:p w14:paraId="7EEC2E24">
            <w:pPr>
              <w:spacing w:line="400" w:lineRule="exact"/>
              <w:jc w:val="center"/>
              <w:rPr>
                <w:rFonts w:ascii="宋体" w:hAnsi="宋体" w:eastAsia="宋体" w:cs="宋体"/>
                <w:color w:val="000000"/>
                <w:sz w:val="21"/>
                <w:szCs w:val="21"/>
              </w:rPr>
            </w:pPr>
          </w:p>
        </w:tc>
      </w:tr>
      <w:tr w14:paraId="23C4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5470C8E9">
            <w:pPr>
              <w:spacing w:line="400" w:lineRule="exact"/>
              <w:jc w:val="center"/>
              <w:rPr>
                <w:rFonts w:ascii="宋体" w:hAnsi="宋体" w:eastAsia="宋体" w:cs="宋体"/>
                <w:color w:val="000000"/>
                <w:sz w:val="21"/>
                <w:szCs w:val="21"/>
              </w:rPr>
            </w:pPr>
          </w:p>
        </w:tc>
        <w:tc>
          <w:tcPr>
            <w:tcW w:w="3174" w:type="dxa"/>
            <w:gridSpan w:val="2"/>
            <w:vAlign w:val="center"/>
          </w:tcPr>
          <w:p w14:paraId="5D71ECB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6C8603E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88.0</w:t>
            </w:r>
          </w:p>
        </w:tc>
        <w:tc>
          <w:tcPr>
            <w:tcW w:w="1003" w:type="dxa"/>
            <w:vAlign w:val="center"/>
          </w:tcPr>
          <w:p w14:paraId="7AD07DD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3.9</w:t>
            </w:r>
          </w:p>
        </w:tc>
        <w:tc>
          <w:tcPr>
            <w:tcW w:w="982" w:type="dxa"/>
            <w:vAlign w:val="center"/>
          </w:tcPr>
          <w:p w14:paraId="73910D8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3.9</w:t>
            </w:r>
          </w:p>
        </w:tc>
        <w:tc>
          <w:tcPr>
            <w:tcW w:w="1960" w:type="dxa"/>
            <w:vAlign w:val="center"/>
          </w:tcPr>
          <w:p w14:paraId="3D6F93F1">
            <w:pPr>
              <w:spacing w:line="400" w:lineRule="exact"/>
              <w:jc w:val="center"/>
              <w:rPr>
                <w:rFonts w:ascii="宋体" w:hAnsi="宋体" w:eastAsia="宋体" w:cs="宋体"/>
                <w:color w:val="000000"/>
                <w:sz w:val="21"/>
                <w:szCs w:val="21"/>
              </w:rPr>
            </w:pPr>
          </w:p>
        </w:tc>
      </w:tr>
      <w:tr w14:paraId="7516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1701D647">
            <w:pPr>
              <w:spacing w:line="400" w:lineRule="exact"/>
              <w:jc w:val="center"/>
              <w:rPr>
                <w:rFonts w:ascii="宋体" w:hAnsi="宋体" w:eastAsia="宋体" w:cs="宋体"/>
                <w:color w:val="000000"/>
                <w:sz w:val="21"/>
                <w:szCs w:val="21"/>
              </w:rPr>
            </w:pPr>
          </w:p>
        </w:tc>
        <w:tc>
          <w:tcPr>
            <w:tcW w:w="626" w:type="dxa"/>
            <w:vMerge w:val="restart"/>
            <w:vAlign w:val="center"/>
          </w:tcPr>
          <w:p w14:paraId="6E0620C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县道</w:t>
            </w:r>
          </w:p>
        </w:tc>
        <w:tc>
          <w:tcPr>
            <w:tcW w:w="2548" w:type="dxa"/>
            <w:vAlign w:val="center"/>
          </w:tcPr>
          <w:p w14:paraId="3D76484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南毛路（栗子至毛坪接暨龙公路）</w:t>
            </w:r>
          </w:p>
        </w:tc>
        <w:tc>
          <w:tcPr>
            <w:tcW w:w="1305" w:type="dxa"/>
            <w:vAlign w:val="center"/>
          </w:tcPr>
          <w:p w14:paraId="34220F2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12.0</w:t>
            </w:r>
          </w:p>
        </w:tc>
        <w:tc>
          <w:tcPr>
            <w:tcW w:w="1003" w:type="dxa"/>
            <w:vAlign w:val="center"/>
          </w:tcPr>
          <w:p w14:paraId="5EE88DB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982" w:type="dxa"/>
            <w:vAlign w:val="center"/>
          </w:tcPr>
          <w:p w14:paraId="01A70AE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1960" w:type="dxa"/>
            <w:vAlign w:val="center"/>
          </w:tcPr>
          <w:p w14:paraId="069B990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77B0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040FA05D">
            <w:pPr>
              <w:spacing w:line="400" w:lineRule="exact"/>
              <w:jc w:val="center"/>
              <w:rPr>
                <w:rFonts w:ascii="宋体" w:hAnsi="宋体" w:eastAsia="宋体" w:cs="宋体"/>
                <w:color w:val="000000"/>
                <w:sz w:val="21"/>
                <w:szCs w:val="21"/>
              </w:rPr>
            </w:pPr>
          </w:p>
        </w:tc>
        <w:tc>
          <w:tcPr>
            <w:tcW w:w="626" w:type="dxa"/>
            <w:vMerge w:val="continue"/>
            <w:vAlign w:val="center"/>
          </w:tcPr>
          <w:p w14:paraId="15A3F706">
            <w:pPr>
              <w:spacing w:line="400" w:lineRule="exact"/>
              <w:jc w:val="center"/>
              <w:rPr>
                <w:rFonts w:ascii="宋体" w:hAnsi="宋体" w:eastAsia="宋体" w:cs="宋体"/>
                <w:color w:val="000000"/>
                <w:sz w:val="21"/>
                <w:szCs w:val="21"/>
              </w:rPr>
            </w:pPr>
          </w:p>
        </w:tc>
        <w:tc>
          <w:tcPr>
            <w:tcW w:w="2548" w:type="dxa"/>
            <w:vAlign w:val="center"/>
          </w:tcPr>
          <w:p w14:paraId="6A13D48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栗子至三建</w:t>
            </w:r>
          </w:p>
        </w:tc>
        <w:tc>
          <w:tcPr>
            <w:tcW w:w="1305" w:type="dxa"/>
            <w:vAlign w:val="center"/>
          </w:tcPr>
          <w:p w14:paraId="0F2BEC8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5.9</w:t>
            </w:r>
          </w:p>
        </w:tc>
        <w:tc>
          <w:tcPr>
            <w:tcW w:w="1003" w:type="dxa"/>
            <w:vAlign w:val="center"/>
          </w:tcPr>
          <w:p w14:paraId="428BB0C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982" w:type="dxa"/>
            <w:vAlign w:val="center"/>
          </w:tcPr>
          <w:p w14:paraId="444BDCC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1960" w:type="dxa"/>
            <w:vAlign w:val="center"/>
          </w:tcPr>
          <w:p w14:paraId="0FDB133F">
            <w:pPr>
              <w:spacing w:line="400" w:lineRule="exact"/>
              <w:jc w:val="center"/>
              <w:rPr>
                <w:rFonts w:ascii="宋体" w:hAnsi="宋体" w:eastAsia="宋体" w:cs="宋体"/>
                <w:color w:val="000000"/>
                <w:sz w:val="21"/>
                <w:szCs w:val="21"/>
              </w:rPr>
            </w:pPr>
          </w:p>
        </w:tc>
      </w:tr>
      <w:tr w14:paraId="7AAE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59BCC2A5">
            <w:pPr>
              <w:spacing w:line="400" w:lineRule="exact"/>
              <w:jc w:val="center"/>
              <w:rPr>
                <w:rFonts w:ascii="宋体" w:hAnsi="宋体" w:eastAsia="宋体" w:cs="宋体"/>
                <w:color w:val="000000"/>
                <w:sz w:val="21"/>
                <w:szCs w:val="21"/>
              </w:rPr>
            </w:pPr>
          </w:p>
        </w:tc>
        <w:tc>
          <w:tcPr>
            <w:tcW w:w="626" w:type="dxa"/>
            <w:vMerge w:val="continue"/>
            <w:vAlign w:val="center"/>
          </w:tcPr>
          <w:p w14:paraId="67388597">
            <w:pPr>
              <w:spacing w:line="400" w:lineRule="exact"/>
              <w:jc w:val="center"/>
              <w:rPr>
                <w:rFonts w:ascii="宋体" w:hAnsi="宋体" w:eastAsia="宋体" w:cs="宋体"/>
                <w:color w:val="000000"/>
                <w:sz w:val="21"/>
                <w:szCs w:val="21"/>
              </w:rPr>
            </w:pPr>
          </w:p>
        </w:tc>
        <w:tc>
          <w:tcPr>
            <w:tcW w:w="2548" w:type="dxa"/>
            <w:vAlign w:val="center"/>
          </w:tcPr>
          <w:p w14:paraId="012A9B0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双龙至灯塔公路</w:t>
            </w:r>
          </w:p>
        </w:tc>
        <w:tc>
          <w:tcPr>
            <w:tcW w:w="1305" w:type="dxa"/>
            <w:vAlign w:val="center"/>
          </w:tcPr>
          <w:p w14:paraId="3118C13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7.5</w:t>
            </w:r>
          </w:p>
        </w:tc>
        <w:tc>
          <w:tcPr>
            <w:tcW w:w="1003" w:type="dxa"/>
            <w:vAlign w:val="center"/>
          </w:tcPr>
          <w:p w14:paraId="6A1AC9F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982" w:type="dxa"/>
            <w:vAlign w:val="center"/>
          </w:tcPr>
          <w:p w14:paraId="1693CD6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1960" w:type="dxa"/>
            <w:vAlign w:val="center"/>
          </w:tcPr>
          <w:p w14:paraId="31AB7E8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5F7B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2A0F4533">
            <w:pPr>
              <w:spacing w:line="400" w:lineRule="exact"/>
              <w:jc w:val="center"/>
              <w:rPr>
                <w:rFonts w:ascii="宋体" w:hAnsi="宋体" w:eastAsia="宋体" w:cs="宋体"/>
                <w:color w:val="000000"/>
                <w:sz w:val="21"/>
                <w:szCs w:val="21"/>
              </w:rPr>
            </w:pPr>
          </w:p>
        </w:tc>
        <w:tc>
          <w:tcPr>
            <w:tcW w:w="626" w:type="dxa"/>
            <w:vMerge w:val="continue"/>
            <w:vAlign w:val="center"/>
          </w:tcPr>
          <w:p w14:paraId="34237606">
            <w:pPr>
              <w:spacing w:line="400" w:lineRule="exact"/>
              <w:jc w:val="center"/>
              <w:rPr>
                <w:rFonts w:ascii="宋体" w:hAnsi="宋体" w:eastAsia="宋体" w:cs="宋体"/>
                <w:color w:val="000000"/>
                <w:sz w:val="21"/>
                <w:szCs w:val="21"/>
              </w:rPr>
            </w:pPr>
          </w:p>
        </w:tc>
        <w:tc>
          <w:tcPr>
            <w:tcW w:w="2548" w:type="dxa"/>
            <w:vAlign w:val="center"/>
          </w:tcPr>
          <w:p w14:paraId="7261894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社坛永兴至兴龙镇公路</w:t>
            </w:r>
          </w:p>
        </w:tc>
        <w:tc>
          <w:tcPr>
            <w:tcW w:w="1305" w:type="dxa"/>
            <w:vAlign w:val="center"/>
          </w:tcPr>
          <w:p w14:paraId="7B556E9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14.7</w:t>
            </w:r>
          </w:p>
        </w:tc>
        <w:tc>
          <w:tcPr>
            <w:tcW w:w="1003" w:type="dxa"/>
            <w:vAlign w:val="center"/>
          </w:tcPr>
          <w:p w14:paraId="14BFBF9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982" w:type="dxa"/>
            <w:vAlign w:val="center"/>
          </w:tcPr>
          <w:p w14:paraId="63CBBA0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1960" w:type="dxa"/>
            <w:vAlign w:val="center"/>
          </w:tcPr>
          <w:p w14:paraId="3126730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5F18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5ECE4DA1">
            <w:pPr>
              <w:spacing w:line="400" w:lineRule="exact"/>
              <w:jc w:val="center"/>
              <w:rPr>
                <w:rFonts w:ascii="宋体" w:hAnsi="宋体" w:eastAsia="宋体" w:cs="宋体"/>
                <w:color w:val="000000"/>
                <w:sz w:val="21"/>
                <w:szCs w:val="21"/>
              </w:rPr>
            </w:pPr>
          </w:p>
        </w:tc>
        <w:tc>
          <w:tcPr>
            <w:tcW w:w="626" w:type="dxa"/>
            <w:vMerge w:val="continue"/>
            <w:vAlign w:val="center"/>
          </w:tcPr>
          <w:p w14:paraId="7153BD92">
            <w:pPr>
              <w:spacing w:line="400" w:lineRule="exact"/>
              <w:jc w:val="center"/>
              <w:rPr>
                <w:rFonts w:ascii="宋体" w:hAnsi="宋体" w:eastAsia="宋体" w:cs="宋体"/>
                <w:color w:val="000000"/>
                <w:sz w:val="21"/>
                <w:szCs w:val="21"/>
              </w:rPr>
            </w:pPr>
          </w:p>
        </w:tc>
        <w:tc>
          <w:tcPr>
            <w:tcW w:w="2548" w:type="dxa"/>
            <w:vAlign w:val="center"/>
          </w:tcPr>
          <w:p w14:paraId="75E9BA1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许董路（许明寺至董家）</w:t>
            </w:r>
          </w:p>
        </w:tc>
        <w:tc>
          <w:tcPr>
            <w:tcW w:w="1305" w:type="dxa"/>
            <w:vAlign w:val="center"/>
          </w:tcPr>
          <w:p w14:paraId="374A6DE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19.0</w:t>
            </w:r>
          </w:p>
        </w:tc>
        <w:tc>
          <w:tcPr>
            <w:tcW w:w="1003" w:type="dxa"/>
            <w:vAlign w:val="center"/>
          </w:tcPr>
          <w:p w14:paraId="71E528E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0.6</w:t>
            </w:r>
          </w:p>
        </w:tc>
        <w:tc>
          <w:tcPr>
            <w:tcW w:w="982" w:type="dxa"/>
            <w:vAlign w:val="center"/>
          </w:tcPr>
          <w:p w14:paraId="7B57C57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0.6</w:t>
            </w:r>
          </w:p>
        </w:tc>
        <w:tc>
          <w:tcPr>
            <w:tcW w:w="1960" w:type="dxa"/>
            <w:vAlign w:val="center"/>
          </w:tcPr>
          <w:p w14:paraId="6EFEE83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2A1A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06F3DB14">
            <w:pPr>
              <w:spacing w:line="400" w:lineRule="exact"/>
              <w:jc w:val="center"/>
              <w:rPr>
                <w:rFonts w:ascii="宋体" w:hAnsi="宋体" w:eastAsia="宋体" w:cs="宋体"/>
                <w:color w:val="000000"/>
                <w:sz w:val="21"/>
                <w:szCs w:val="21"/>
              </w:rPr>
            </w:pPr>
          </w:p>
        </w:tc>
        <w:tc>
          <w:tcPr>
            <w:tcW w:w="626" w:type="dxa"/>
            <w:vMerge w:val="continue"/>
            <w:vAlign w:val="center"/>
          </w:tcPr>
          <w:p w14:paraId="14D8A808">
            <w:pPr>
              <w:spacing w:line="400" w:lineRule="exact"/>
              <w:jc w:val="center"/>
              <w:rPr>
                <w:rFonts w:ascii="宋体" w:hAnsi="宋体" w:eastAsia="宋体" w:cs="宋体"/>
                <w:color w:val="000000"/>
                <w:sz w:val="21"/>
                <w:szCs w:val="21"/>
              </w:rPr>
            </w:pPr>
          </w:p>
        </w:tc>
        <w:tc>
          <w:tcPr>
            <w:tcW w:w="2548" w:type="dxa"/>
            <w:vAlign w:val="center"/>
          </w:tcPr>
          <w:p w14:paraId="0CFFFA5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青龙至十直公路</w:t>
            </w:r>
          </w:p>
        </w:tc>
        <w:tc>
          <w:tcPr>
            <w:tcW w:w="1305" w:type="dxa"/>
            <w:vAlign w:val="center"/>
          </w:tcPr>
          <w:p w14:paraId="742B4CA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16.0</w:t>
            </w:r>
          </w:p>
        </w:tc>
        <w:tc>
          <w:tcPr>
            <w:tcW w:w="1003" w:type="dxa"/>
            <w:vAlign w:val="center"/>
          </w:tcPr>
          <w:p w14:paraId="0D5D6091">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1.0</w:t>
            </w:r>
          </w:p>
        </w:tc>
        <w:tc>
          <w:tcPr>
            <w:tcW w:w="982" w:type="dxa"/>
            <w:vAlign w:val="center"/>
          </w:tcPr>
          <w:p w14:paraId="6F20D51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0.8</w:t>
            </w:r>
          </w:p>
        </w:tc>
        <w:tc>
          <w:tcPr>
            <w:tcW w:w="1960" w:type="dxa"/>
            <w:vAlign w:val="center"/>
          </w:tcPr>
          <w:p w14:paraId="1B5607D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727B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shd w:val="clear" w:color="auto" w:fill="auto"/>
            <w:vAlign w:val="center"/>
          </w:tcPr>
          <w:p w14:paraId="4A272EBC">
            <w:pPr>
              <w:spacing w:line="400" w:lineRule="exact"/>
              <w:jc w:val="center"/>
              <w:rPr>
                <w:rFonts w:ascii="宋体" w:hAnsi="宋体" w:eastAsia="宋体" w:cs="宋体"/>
                <w:color w:val="000000"/>
                <w:sz w:val="21"/>
                <w:szCs w:val="21"/>
              </w:rPr>
            </w:pPr>
          </w:p>
        </w:tc>
        <w:tc>
          <w:tcPr>
            <w:tcW w:w="626" w:type="dxa"/>
            <w:vMerge w:val="continue"/>
            <w:shd w:val="clear" w:color="auto" w:fill="auto"/>
            <w:vAlign w:val="center"/>
          </w:tcPr>
          <w:p w14:paraId="291F67C5">
            <w:pPr>
              <w:spacing w:line="400" w:lineRule="exact"/>
              <w:jc w:val="center"/>
              <w:rPr>
                <w:rFonts w:ascii="宋体" w:hAnsi="宋体" w:eastAsia="宋体" w:cs="宋体"/>
                <w:color w:val="000000"/>
                <w:sz w:val="21"/>
                <w:szCs w:val="21"/>
              </w:rPr>
            </w:pPr>
          </w:p>
        </w:tc>
        <w:tc>
          <w:tcPr>
            <w:tcW w:w="2548" w:type="dxa"/>
            <w:shd w:val="clear" w:color="auto" w:fill="auto"/>
            <w:vAlign w:val="center"/>
          </w:tcPr>
          <w:p w14:paraId="09D61DA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北岸产业环线灯塔至十直公路</w:t>
            </w:r>
          </w:p>
        </w:tc>
        <w:tc>
          <w:tcPr>
            <w:tcW w:w="1305" w:type="dxa"/>
            <w:shd w:val="clear" w:color="auto" w:fill="auto"/>
            <w:vAlign w:val="center"/>
          </w:tcPr>
          <w:p w14:paraId="3FE19AF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20.0</w:t>
            </w:r>
          </w:p>
        </w:tc>
        <w:tc>
          <w:tcPr>
            <w:tcW w:w="1003" w:type="dxa"/>
            <w:shd w:val="clear" w:color="auto" w:fill="auto"/>
            <w:vAlign w:val="center"/>
          </w:tcPr>
          <w:p w14:paraId="3DB85EC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0.5</w:t>
            </w:r>
          </w:p>
        </w:tc>
        <w:tc>
          <w:tcPr>
            <w:tcW w:w="982" w:type="dxa"/>
            <w:shd w:val="clear" w:color="auto" w:fill="auto"/>
            <w:vAlign w:val="center"/>
          </w:tcPr>
          <w:p w14:paraId="26F7B384">
            <w:pPr>
              <w:spacing w:line="400" w:lineRule="exact"/>
              <w:jc w:val="center"/>
              <w:rPr>
                <w:rFonts w:ascii="宋体" w:hAnsi="宋体" w:eastAsia="宋体" w:cs="宋体"/>
                <w:color w:val="000000"/>
                <w:sz w:val="21"/>
                <w:szCs w:val="21"/>
              </w:rPr>
            </w:pPr>
          </w:p>
        </w:tc>
        <w:tc>
          <w:tcPr>
            <w:tcW w:w="1960" w:type="dxa"/>
            <w:shd w:val="clear" w:color="auto" w:fill="FFFFFF"/>
            <w:vAlign w:val="center"/>
          </w:tcPr>
          <w:p w14:paraId="6AEC97C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县级储备项目</w:t>
            </w:r>
          </w:p>
        </w:tc>
      </w:tr>
      <w:tr w14:paraId="2833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shd w:val="clear" w:color="auto" w:fill="auto"/>
            <w:vAlign w:val="center"/>
          </w:tcPr>
          <w:p w14:paraId="3B61BC31">
            <w:pPr>
              <w:spacing w:line="400" w:lineRule="exact"/>
              <w:jc w:val="center"/>
              <w:rPr>
                <w:rFonts w:ascii="宋体" w:hAnsi="宋体" w:eastAsia="宋体" w:cs="宋体"/>
                <w:color w:val="000000"/>
                <w:sz w:val="21"/>
                <w:szCs w:val="21"/>
              </w:rPr>
            </w:pPr>
          </w:p>
        </w:tc>
        <w:tc>
          <w:tcPr>
            <w:tcW w:w="3174" w:type="dxa"/>
            <w:gridSpan w:val="2"/>
            <w:shd w:val="clear" w:color="auto" w:fill="auto"/>
            <w:vAlign w:val="center"/>
          </w:tcPr>
          <w:p w14:paraId="592BC81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shd w:val="clear" w:color="auto" w:fill="auto"/>
            <w:vAlign w:val="center"/>
          </w:tcPr>
          <w:p w14:paraId="1A21529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95.1</w:t>
            </w:r>
          </w:p>
        </w:tc>
        <w:tc>
          <w:tcPr>
            <w:tcW w:w="1003" w:type="dxa"/>
            <w:shd w:val="clear" w:color="auto" w:fill="auto"/>
            <w:vAlign w:val="center"/>
          </w:tcPr>
          <w:p w14:paraId="5CD6FCD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2.7</w:t>
            </w:r>
          </w:p>
        </w:tc>
        <w:tc>
          <w:tcPr>
            <w:tcW w:w="982" w:type="dxa"/>
            <w:shd w:val="clear" w:color="auto" w:fill="auto"/>
            <w:vAlign w:val="center"/>
          </w:tcPr>
          <w:p w14:paraId="615A8ED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2.0</w:t>
            </w:r>
          </w:p>
        </w:tc>
        <w:tc>
          <w:tcPr>
            <w:tcW w:w="1960" w:type="dxa"/>
            <w:shd w:val="clear" w:color="auto" w:fill="FFFFFF"/>
            <w:vAlign w:val="center"/>
          </w:tcPr>
          <w:p w14:paraId="336C7A1B">
            <w:pPr>
              <w:spacing w:line="400" w:lineRule="exact"/>
              <w:jc w:val="center"/>
              <w:rPr>
                <w:rFonts w:ascii="宋体" w:hAnsi="宋体" w:eastAsia="宋体" w:cs="宋体"/>
                <w:color w:val="000000"/>
                <w:sz w:val="21"/>
                <w:szCs w:val="21"/>
              </w:rPr>
            </w:pPr>
          </w:p>
        </w:tc>
      </w:tr>
      <w:tr w14:paraId="754F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2C58FAA4">
            <w:pPr>
              <w:spacing w:line="400" w:lineRule="exact"/>
              <w:jc w:val="center"/>
              <w:rPr>
                <w:rFonts w:ascii="宋体" w:hAnsi="宋体" w:eastAsia="宋体" w:cs="宋体"/>
                <w:color w:val="000000"/>
                <w:sz w:val="21"/>
                <w:szCs w:val="21"/>
              </w:rPr>
            </w:pPr>
          </w:p>
        </w:tc>
        <w:tc>
          <w:tcPr>
            <w:tcW w:w="626" w:type="dxa"/>
            <w:vMerge w:val="restart"/>
            <w:vAlign w:val="center"/>
          </w:tcPr>
          <w:p w14:paraId="510573B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乡村道</w:t>
            </w:r>
          </w:p>
        </w:tc>
        <w:tc>
          <w:tcPr>
            <w:tcW w:w="2548" w:type="dxa"/>
            <w:vAlign w:val="center"/>
          </w:tcPr>
          <w:p w14:paraId="609838E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董家至新立</w:t>
            </w:r>
          </w:p>
        </w:tc>
        <w:tc>
          <w:tcPr>
            <w:tcW w:w="1305" w:type="dxa"/>
            <w:vAlign w:val="center"/>
          </w:tcPr>
          <w:p w14:paraId="2C984B0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13.0</w:t>
            </w:r>
          </w:p>
        </w:tc>
        <w:tc>
          <w:tcPr>
            <w:tcW w:w="1003" w:type="dxa"/>
            <w:vAlign w:val="center"/>
          </w:tcPr>
          <w:p w14:paraId="1BDE8B5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982" w:type="dxa"/>
            <w:vAlign w:val="center"/>
          </w:tcPr>
          <w:p w14:paraId="75DE65E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1960" w:type="dxa"/>
            <w:vAlign w:val="center"/>
          </w:tcPr>
          <w:p w14:paraId="1F5B745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7397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28FAD0EE">
            <w:pPr>
              <w:spacing w:line="400" w:lineRule="exact"/>
              <w:jc w:val="center"/>
              <w:rPr>
                <w:rFonts w:ascii="宋体" w:hAnsi="宋体" w:eastAsia="宋体" w:cs="宋体"/>
                <w:color w:val="000000"/>
                <w:sz w:val="21"/>
                <w:szCs w:val="21"/>
              </w:rPr>
            </w:pPr>
          </w:p>
        </w:tc>
        <w:tc>
          <w:tcPr>
            <w:tcW w:w="626" w:type="dxa"/>
            <w:vMerge w:val="continue"/>
            <w:vAlign w:val="center"/>
          </w:tcPr>
          <w:p w14:paraId="6ABCBB98">
            <w:pPr>
              <w:spacing w:line="400" w:lineRule="exact"/>
              <w:jc w:val="center"/>
              <w:rPr>
                <w:rFonts w:ascii="宋体" w:hAnsi="宋体" w:eastAsia="宋体" w:cs="宋体"/>
                <w:color w:val="000000"/>
                <w:sz w:val="21"/>
                <w:szCs w:val="21"/>
              </w:rPr>
            </w:pPr>
          </w:p>
        </w:tc>
        <w:tc>
          <w:tcPr>
            <w:tcW w:w="2548" w:type="dxa"/>
            <w:vAlign w:val="center"/>
          </w:tcPr>
          <w:p w14:paraId="4471281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栗子至三建</w:t>
            </w:r>
          </w:p>
        </w:tc>
        <w:tc>
          <w:tcPr>
            <w:tcW w:w="1305" w:type="dxa"/>
            <w:vAlign w:val="center"/>
          </w:tcPr>
          <w:p w14:paraId="6113759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5.9</w:t>
            </w:r>
          </w:p>
        </w:tc>
        <w:tc>
          <w:tcPr>
            <w:tcW w:w="1003" w:type="dxa"/>
            <w:vAlign w:val="center"/>
          </w:tcPr>
          <w:p w14:paraId="1528613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982" w:type="dxa"/>
            <w:vAlign w:val="center"/>
          </w:tcPr>
          <w:p w14:paraId="5F63B65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1960" w:type="dxa"/>
            <w:vAlign w:val="center"/>
          </w:tcPr>
          <w:p w14:paraId="2C0D30D4">
            <w:pPr>
              <w:spacing w:line="400" w:lineRule="exact"/>
              <w:jc w:val="center"/>
              <w:rPr>
                <w:rFonts w:ascii="宋体" w:hAnsi="宋体" w:eastAsia="宋体" w:cs="宋体"/>
                <w:color w:val="000000"/>
                <w:sz w:val="21"/>
                <w:szCs w:val="21"/>
              </w:rPr>
            </w:pPr>
          </w:p>
        </w:tc>
      </w:tr>
      <w:tr w14:paraId="1767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4E8BD4C1">
            <w:pPr>
              <w:spacing w:line="400" w:lineRule="exact"/>
              <w:jc w:val="center"/>
              <w:rPr>
                <w:rFonts w:ascii="宋体" w:hAnsi="宋体" w:eastAsia="宋体" w:cs="宋体"/>
                <w:color w:val="000000"/>
                <w:sz w:val="21"/>
                <w:szCs w:val="21"/>
              </w:rPr>
            </w:pPr>
          </w:p>
        </w:tc>
        <w:tc>
          <w:tcPr>
            <w:tcW w:w="3174" w:type="dxa"/>
            <w:gridSpan w:val="2"/>
            <w:vAlign w:val="center"/>
          </w:tcPr>
          <w:p w14:paraId="46BF3C41">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4ED956D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18.9</w:t>
            </w:r>
          </w:p>
        </w:tc>
        <w:tc>
          <w:tcPr>
            <w:tcW w:w="1003" w:type="dxa"/>
            <w:vAlign w:val="center"/>
          </w:tcPr>
          <w:p w14:paraId="1A7AD79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982" w:type="dxa"/>
            <w:vAlign w:val="center"/>
          </w:tcPr>
          <w:p w14:paraId="1199763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1960" w:type="dxa"/>
            <w:vAlign w:val="center"/>
          </w:tcPr>
          <w:p w14:paraId="0EB2445E">
            <w:pPr>
              <w:spacing w:line="400" w:lineRule="exact"/>
              <w:jc w:val="center"/>
              <w:rPr>
                <w:rFonts w:ascii="宋体" w:hAnsi="宋体" w:eastAsia="宋体" w:cs="宋体"/>
                <w:color w:val="000000"/>
                <w:sz w:val="21"/>
                <w:szCs w:val="21"/>
              </w:rPr>
            </w:pPr>
          </w:p>
        </w:tc>
      </w:tr>
      <w:tr w14:paraId="681D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shd w:val="clear" w:color="auto" w:fill="auto"/>
            <w:vAlign w:val="center"/>
          </w:tcPr>
          <w:p w14:paraId="241E38C9">
            <w:pPr>
              <w:spacing w:line="400" w:lineRule="exact"/>
              <w:jc w:val="center"/>
              <w:rPr>
                <w:rFonts w:ascii="宋体" w:hAnsi="宋体" w:eastAsia="宋体" w:cs="宋体"/>
                <w:color w:val="000000"/>
                <w:sz w:val="21"/>
                <w:szCs w:val="21"/>
              </w:rPr>
            </w:pPr>
          </w:p>
        </w:tc>
        <w:tc>
          <w:tcPr>
            <w:tcW w:w="3174" w:type="dxa"/>
            <w:gridSpan w:val="2"/>
            <w:shd w:val="clear" w:color="auto" w:fill="auto"/>
            <w:vAlign w:val="center"/>
          </w:tcPr>
          <w:p w14:paraId="6B504C9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合  计</w:t>
            </w:r>
          </w:p>
        </w:tc>
        <w:tc>
          <w:tcPr>
            <w:tcW w:w="1305" w:type="dxa"/>
            <w:shd w:val="clear" w:color="auto" w:fill="auto"/>
            <w:vAlign w:val="center"/>
          </w:tcPr>
          <w:p w14:paraId="2E142C4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249.9</w:t>
            </w:r>
          </w:p>
        </w:tc>
        <w:tc>
          <w:tcPr>
            <w:tcW w:w="1003" w:type="dxa"/>
            <w:shd w:val="clear" w:color="auto" w:fill="auto"/>
            <w:vAlign w:val="center"/>
          </w:tcPr>
          <w:p w14:paraId="4404B7B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9.6</w:t>
            </w:r>
          </w:p>
        </w:tc>
        <w:tc>
          <w:tcPr>
            <w:tcW w:w="982" w:type="dxa"/>
            <w:shd w:val="clear" w:color="auto" w:fill="auto"/>
            <w:vAlign w:val="center"/>
          </w:tcPr>
          <w:p w14:paraId="69D982E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6.2</w:t>
            </w:r>
          </w:p>
        </w:tc>
        <w:tc>
          <w:tcPr>
            <w:tcW w:w="1960" w:type="dxa"/>
            <w:shd w:val="clear" w:color="auto" w:fill="FFFFFF"/>
            <w:vAlign w:val="center"/>
          </w:tcPr>
          <w:p w14:paraId="41DEC8A6">
            <w:pPr>
              <w:spacing w:line="400" w:lineRule="exact"/>
              <w:jc w:val="center"/>
              <w:rPr>
                <w:rFonts w:ascii="宋体" w:hAnsi="宋体" w:eastAsia="宋体" w:cs="宋体"/>
                <w:color w:val="000000"/>
                <w:sz w:val="21"/>
                <w:szCs w:val="21"/>
              </w:rPr>
            </w:pPr>
          </w:p>
        </w:tc>
      </w:tr>
      <w:tr w14:paraId="679C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Align w:val="center"/>
          </w:tcPr>
          <w:p w14:paraId="36216D85">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交</w:t>
            </w:r>
          </w:p>
          <w:p w14:paraId="24ADCC49">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通     +     工</w:t>
            </w:r>
          </w:p>
          <w:p w14:paraId="603393E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业</w:t>
            </w:r>
          </w:p>
        </w:tc>
        <w:tc>
          <w:tcPr>
            <w:tcW w:w="626" w:type="dxa"/>
            <w:vAlign w:val="center"/>
          </w:tcPr>
          <w:p w14:paraId="0DFB1DF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国道</w:t>
            </w:r>
          </w:p>
        </w:tc>
        <w:tc>
          <w:tcPr>
            <w:tcW w:w="2548" w:type="dxa"/>
            <w:vAlign w:val="center"/>
          </w:tcPr>
          <w:p w14:paraId="1CCC7AA4">
            <w:pPr>
              <w:spacing w:line="400" w:lineRule="exact"/>
              <w:jc w:val="center"/>
              <w:textAlignment w:val="center"/>
              <w:rPr>
                <w:rFonts w:ascii="宋体" w:hAnsi="宋体" w:eastAsia="宋体" w:cs="宋体"/>
                <w:color w:val="000000"/>
                <w:sz w:val="21"/>
                <w:szCs w:val="21"/>
              </w:rPr>
            </w:pPr>
            <w:r>
              <w:rPr>
                <w:rStyle w:val="17"/>
                <w:rFonts w:hint="eastAsia" w:ascii="宋体" w:hAnsi="宋体" w:cs="宋体"/>
                <w:sz w:val="21"/>
                <w:szCs w:val="21"/>
              </w:rPr>
              <w:t>G351</w:t>
            </w:r>
            <w:r>
              <w:rPr>
                <w:rStyle w:val="18"/>
                <w:rFonts w:hint="default"/>
                <w:sz w:val="21"/>
                <w:szCs w:val="21"/>
              </w:rPr>
              <w:t>龙河东至高镇</w:t>
            </w:r>
          </w:p>
        </w:tc>
        <w:tc>
          <w:tcPr>
            <w:tcW w:w="1305" w:type="dxa"/>
            <w:vAlign w:val="center"/>
          </w:tcPr>
          <w:p w14:paraId="2002DC8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21.4</w:t>
            </w:r>
          </w:p>
        </w:tc>
        <w:tc>
          <w:tcPr>
            <w:tcW w:w="1003" w:type="dxa"/>
            <w:vAlign w:val="center"/>
          </w:tcPr>
          <w:p w14:paraId="63D9792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982" w:type="dxa"/>
            <w:vAlign w:val="center"/>
          </w:tcPr>
          <w:p w14:paraId="206123C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1960" w:type="dxa"/>
            <w:vAlign w:val="center"/>
          </w:tcPr>
          <w:p w14:paraId="50481DE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市级规划项目</w:t>
            </w:r>
          </w:p>
        </w:tc>
      </w:tr>
      <w:tr w14:paraId="7C63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restart"/>
            <w:vAlign w:val="center"/>
          </w:tcPr>
          <w:p w14:paraId="28FF1494">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交</w:t>
            </w:r>
          </w:p>
          <w:p w14:paraId="7A0B1CA3">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通     +     工</w:t>
            </w:r>
          </w:p>
          <w:p w14:paraId="488AE5C7">
            <w:pPr>
              <w:spacing w:line="400" w:lineRule="exact"/>
              <w:jc w:val="center"/>
              <w:rPr>
                <w:rFonts w:ascii="宋体" w:hAnsi="宋体" w:eastAsia="宋体" w:cs="宋体"/>
                <w:color w:val="000000"/>
                <w:sz w:val="21"/>
                <w:szCs w:val="21"/>
              </w:rPr>
            </w:pPr>
            <w:r>
              <w:rPr>
                <w:rFonts w:hint="eastAsia" w:ascii="宋体" w:hAnsi="宋体" w:eastAsia="宋体" w:cs="宋体"/>
                <w:color w:val="000000"/>
                <w:kern w:val="0"/>
                <w:sz w:val="21"/>
                <w:szCs w:val="21"/>
              </w:rPr>
              <w:t>业</w:t>
            </w:r>
          </w:p>
        </w:tc>
        <w:tc>
          <w:tcPr>
            <w:tcW w:w="3174" w:type="dxa"/>
            <w:gridSpan w:val="2"/>
            <w:vAlign w:val="center"/>
          </w:tcPr>
          <w:p w14:paraId="37D3600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1F09C78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21.4</w:t>
            </w:r>
          </w:p>
        </w:tc>
        <w:tc>
          <w:tcPr>
            <w:tcW w:w="1003" w:type="dxa"/>
            <w:vAlign w:val="center"/>
          </w:tcPr>
          <w:p w14:paraId="1B7E0FD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982" w:type="dxa"/>
            <w:vAlign w:val="center"/>
          </w:tcPr>
          <w:p w14:paraId="740F05C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1960" w:type="dxa"/>
            <w:vAlign w:val="center"/>
          </w:tcPr>
          <w:p w14:paraId="2B0DEE0D">
            <w:pPr>
              <w:spacing w:line="400" w:lineRule="exact"/>
              <w:jc w:val="center"/>
              <w:rPr>
                <w:rFonts w:ascii="宋体" w:hAnsi="宋体" w:eastAsia="宋体" w:cs="宋体"/>
                <w:color w:val="000000"/>
                <w:sz w:val="21"/>
                <w:szCs w:val="21"/>
              </w:rPr>
            </w:pPr>
          </w:p>
        </w:tc>
      </w:tr>
      <w:tr w14:paraId="671B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2F33CE2C">
            <w:pPr>
              <w:spacing w:line="400" w:lineRule="exact"/>
              <w:jc w:val="center"/>
              <w:rPr>
                <w:rFonts w:ascii="宋体" w:hAnsi="宋体" w:eastAsia="宋体" w:cs="宋体"/>
                <w:color w:val="000000"/>
                <w:sz w:val="21"/>
                <w:szCs w:val="21"/>
              </w:rPr>
            </w:pPr>
          </w:p>
        </w:tc>
        <w:tc>
          <w:tcPr>
            <w:tcW w:w="626" w:type="dxa"/>
            <w:vAlign w:val="center"/>
          </w:tcPr>
          <w:p w14:paraId="098F71A9">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省道</w:t>
            </w:r>
          </w:p>
        </w:tc>
        <w:tc>
          <w:tcPr>
            <w:tcW w:w="2548" w:type="dxa"/>
            <w:vAlign w:val="center"/>
          </w:tcPr>
          <w:p w14:paraId="7AB47346">
            <w:pPr>
              <w:spacing w:line="400" w:lineRule="exact"/>
              <w:jc w:val="center"/>
              <w:textAlignment w:val="center"/>
              <w:rPr>
                <w:rFonts w:ascii="宋体" w:hAnsi="宋体" w:eastAsia="宋体" w:cs="宋体"/>
                <w:color w:val="000000"/>
                <w:sz w:val="21"/>
                <w:szCs w:val="21"/>
              </w:rPr>
            </w:pPr>
            <w:r>
              <w:rPr>
                <w:rStyle w:val="17"/>
                <w:rFonts w:hint="eastAsia" w:ascii="宋体" w:hAnsi="宋体" w:cs="宋体"/>
                <w:sz w:val="21"/>
                <w:szCs w:val="21"/>
              </w:rPr>
              <w:t>S102</w:t>
            </w:r>
            <w:r>
              <w:rPr>
                <w:rStyle w:val="18"/>
                <w:rFonts w:hint="default"/>
                <w:sz w:val="21"/>
                <w:szCs w:val="21"/>
              </w:rPr>
              <w:t>猪鼻孔至包鸾</w:t>
            </w:r>
          </w:p>
        </w:tc>
        <w:tc>
          <w:tcPr>
            <w:tcW w:w="1305" w:type="dxa"/>
            <w:vAlign w:val="center"/>
          </w:tcPr>
          <w:p w14:paraId="10173BB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1003" w:type="dxa"/>
            <w:vAlign w:val="center"/>
          </w:tcPr>
          <w:p w14:paraId="43293D9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982" w:type="dxa"/>
            <w:vAlign w:val="center"/>
          </w:tcPr>
          <w:p w14:paraId="7CF3898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1960" w:type="dxa"/>
            <w:vAlign w:val="center"/>
          </w:tcPr>
          <w:p w14:paraId="7D00C64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16E4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5CF29790">
            <w:pPr>
              <w:spacing w:line="400" w:lineRule="exact"/>
              <w:jc w:val="center"/>
              <w:rPr>
                <w:rFonts w:ascii="宋体" w:hAnsi="宋体" w:eastAsia="宋体" w:cs="宋体"/>
                <w:color w:val="000000"/>
                <w:sz w:val="21"/>
                <w:szCs w:val="21"/>
              </w:rPr>
            </w:pPr>
          </w:p>
        </w:tc>
        <w:tc>
          <w:tcPr>
            <w:tcW w:w="3174" w:type="dxa"/>
            <w:gridSpan w:val="2"/>
            <w:vAlign w:val="center"/>
          </w:tcPr>
          <w:p w14:paraId="65913B0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355ED27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1003" w:type="dxa"/>
            <w:vAlign w:val="center"/>
          </w:tcPr>
          <w:p w14:paraId="6631FE8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982" w:type="dxa"/>
            <w:vAlign w:val="center"/>
          </w:tcPr>
          <w:p w14:paraId="62E8E67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1960" w:type="dxa"/>
            <w:vAlign w:val="center"/>
          </w:tcPr>
          <w:p w14:paraId="76841B52">
            <w:pPr>
              <w:spacing w:line="400" w:lineRule="exact"/>
              <w:jc w:val="center"/>
              <w:rPr>
                <w:rFonts w:ascii="宋体" w:hAnsi="宋体" w:eastAsia="宋体" w:cs="宋体"/>
                <w:color w:val="000000"/>
                <w:sz w:val="21"/>
                <w:szCs w:val="21"/>
              </w:rPr>
            </w:pPr>
          </w:p>
        </w:tc>
      </w:tr>
      <w:tr w14:paraId="41BB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3" w:type="dxa"/>
            <w:vMerge w:val="continue"/>
            <w:vAlign w:val="center"/>
          </w:tcPr>
          <w:p w14:paraId="69A6F996">
            <w:pPr>
              <w:spacing w:line="400" w:lineRule="exact"/>
              <w:jc w:val="center"/>
              <w:rPr>
                <w:rFonts w:ascii="宋体" w:hAnsi="宋体" w:eastAsia="宋体" w:cs="宋体"/>
                <w:color w:val="000000"/>
                <w:sz w:val="21"/>
                <w:szCs w:val="21"/>
              </w:rPr>
            </w:pPr>
          </w:p>
        </w:tc>
        <w:tc>
          <w:tcPr>
            <w:tcW w:w="626" w:type="dxa"/>
            <w:vMerge w:val="restart"/>
            <w:vAlign w:val="center"/>
          </w:tcPr>
          <w:p w14:paraId="64E168E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连接线</w:t>
            </w:r>
          </w:p>
        </w:tc>
        <w:tc>
          <w:tcPr>
            <w:tcW w:w="2548" w:type="dxa"/>
            <w:vAlign w:val="center"/>
          </w:tcPr>
          <w:p w14:paraId="5D91837D">
            <w:pPr>
              <w:spacing w:line="400" w:lineRule="exact"/>
              <w:jc w:val="center"/>
              <w:textAlignment w:val="center"/>
              <w:rPr>
                <w:rFonts w:ascii="宋体" w:hAnsi="宋体" w:eastAsia="宋体" w:cs="宋体"/>
                <w:color w:val="000000"/>
                <w:sz w:val="21"/>
                <w:szCs w:val="21"/>
              </w:rPr>
            </w:pPr>
            <w:r>
              <w:rPr>
                <w:rStyle w:val="18"/>
                <w:rFonts w:hint="default"/>
                <w:sz w:val="21"/>
                <w:szCs w:val="21"/>
              </w:rPr>
              <w:t>垫丰武高速兴义过江公路桥梁北岸至国道</w:t>
            </w:r>
            <w:r>
              <w:rPr>
                <w:rStyle w:val="17"/>
                <w:rFonts w:hint="eastAsia" w:ascii="宋体" w:hAnsi="宋体" w:cs="宋体"/>
                <w:sz w:val="21"/>
                <w:szCs w:val="21"/>
              </w:rPr>
              <w:t>G348</w:t>
            </w:r>
            <w:r>
              <w:rPr>
                <w:rStyle w:val="18"/>
                <w:rFonts w:hint="default"/>
                <w:sz w:val="21"/>
                <w:szCs w:val="21"/>
              </w:rPr>
              <w:t>连接线</w:t>
            </w:r>
          </w:p>
        </w:tc>
        <w:tc>
          <w:tcPr>
            <w:tcW w:w="1305" w:type="dxa"/>
            <w:vAlign w:val="center"/>
          </w:tcPr>
          <w:p w14:paraId="510F8A61">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1003" w:type="dxa"/>
            <w:vAlign w:val="center"/>
          </w:tcPr>
          <w:p w14:paraId="6FFC223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1.6</w:t>
            </w:r>
          </w:p>
        </w:tc>
        <w:tc>
          <w:tcPr>
            <w:tcW w:w="982" w:type="dxa"/>
            <w:vAlign w:val="center"/>
          </w:tcPr>
          <w:p w14:paraId="6940EF8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1.6</w:t>
            </w:r>
          </w:p>
        </w:tc>
        <w:tc>
          <w:tcPr>
            <w:tcW w:w="1960" w:type="dxa"/>
            <w:vAlign w:val="center"/>
          </w:tcPr>
          <w:p w14:paraId="4C14BEE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48EE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3262E6AE">
            <w:pPr>
              <w:spacing w:line="400" w:lineRule="exact"/>
              <w:jc w:val="center"/>
              <w:rPr>
                <w:rFonts w:ascii="宋体" w:hAnsi="宋体" w:eastAsia="宋体" w:cs="宋体"/>
                <w:color w:val="000000"/>
                <w:sz w:val="21"/>
                <w:szCs w:val="21"/>
              </w:rPr>
            </w:pPr>
          </w:p>
        </w:tc>
        <w:tc>
          <w:tcPr>
            <w:tcW w:w="626" w:type="dxa"/>
            <w:vMerge w:val="continue"/>
            <w:vAlign w:val="center"/>
          </w:tcPr>
          <w:p w14:paraId="328806F2">
            <w:pPr>
              <w:spacing w:line="400" w:lineRule="exact"/>
              <w:jc w:val="center"/>
              <w:rPr>
                <w:rFonts w:ascii="宋体" w:hAnsi="宋体" w:eastAsia="宋体" w:cs="宋体"/>
                <w:color w:val="000000"/>
                <w:sz w:val="21"/>
                <w:szCs w:val="21"/>
              </w:rPr>
            </w:pPr>
          </w:p>
        </w:tc>
        <w:tc>
          <w:tcPr>
            <w:tcW w:w="2548" w:type="dxa"/>
            <w:vAlign w:val="center"/>
          </w:tcPr>
          <w:p w14:paraId="062C7A2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垫丰武高速兴义过江公路桥梁</w:t>
            </w:r>
          </w:p>
        </w:tc>
        <w:tc>
          <w:tcPr>
            <w:tcW w:w="1305" w:type="dxa"/>
            <w:vAlign w:val="center"/>
          </w:tcPr>
          <w:p w14:paraId="0293BEF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1.5</w:t>
            </w:r>
          </w:p>
        </w:tc>
        <w:tc>
          <w:tcPr>
            <w:tcW w:w="1003" w:type="dxa"/>
            <w:vAlign w:val="center"/>
          </w:tcPr>
          <w:p w14:paraId="222AC81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982" w:type="dxa"/>
            <w:vAlign w:val="center"/>
          </w:tcPr>
          <w:p w14:paraId="2569636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1960" w:type="dxa"/>
            <w:vAlign w:val="center"/>
          </w:tcPr>
          <w:p w14:paraId="393B3A3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21C1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53" w:type="dxa"/>
            <w:vMerge w:val="continue"/>
            <w:vAlign w:val="center"/>
          </w:tcPr>
          <w:p w14:paraId="6E3926A5">
            <w:pPr>
              <w:spacing w:line="400" w:lineRule="exact"/>
              <w:jc w:val="center"/>
              <w:rPr>
                <w:rFonts w:ascii="宋体" w:hAnsi="宋体" w:eastAsia="宋体" w:cs="宋体"/>
                <w:color w:val="000000"/>
                <w:sz w:val="21"/>
                <w:szCs w:val="21"/>
              </w:rPr>
            </w:pPr>
          </w:p>
        </w:tc>
        <w:tc>
          <w:tcPr>
            <w:tcW w:w="626" w:type="dxa"/>
            <w:vMerge w:val="continue"/>
            <w:vAlign w:val="center"/>
          </w:tcPr>
          <w:p w14:paraId="60E1E082">
            <w:pPr>
              <w:spacing w:line="400" w:lineRule="exact"/>
              <w:jc w:val="center"/>
              <w:rPr>
                <w:rFonts w:ascii="宋体" w:hAnsi="宋体" w:eastAsia="宋体" w:cs="宋体"/>
                <w:color w:val="000000"/>
                <w:sz w:val="21"/>
                <w:szCs w:val="21"/>
              </w:rPr>
            </w:pPr>
          </w:p>
        </w:tc>
        <w:tc>
          <w:tcPr>
            <w:tcW w:w="2548" w:type="dxa"/>
            <w:vAlign w:val="center"/>
          </w:tcPr>
          <w:p w14:paraId="30406C2E">
            <w:pPr>
              <w:spacing w:line="400" w:lineRule="exact"/>
              <w:jc w:val="center"/>
              <w:textAlignment w:val="center"/>
              <w:rPr>
                <w:rFonts w:ascii="宋体" w:hAnsi="宋体" w:eastAsia="宋体" w:cs="宋体"/>
                <w:color w:val="000000"/>
                <w:sz w:val="21"/>
                <w:szCs w:val="21"/>
              </w:rPr>
            </w:pPr>
            <w:r>
              <w:rPr>
                <w:rStyle w:val="18"/>
                <w:rFonts w:hint="default"/>
                <w:sz w:val="21"/>
                <w:szCs w:val="21"/>
              </w:rPr>
              <w:t>垫丰武高速兴义过江公路桥梁南岸至国道</w:t>
            </w:r>
            <w:r>
              <w:rPr>
                <w:rStyle w:val="17"/>
                <w:rFonts w:hint="eastAsia" w:ascii="宋体" w:hAnsi="宋体" w:cs="宋体"/>
                <w:sz w:val="21"/>
                <w:szCs w:val="21"/>
              </w:rPr>
              <w:t>G351</w:t>
            </w:r>
            <w:r>
              <w:rPr>
                <w:rStyle w:val="18"/>
                <w:rFonts w:hint="default"/>
                <w:sz w:val="21"/>
                <w:szCs w:val="21"/>
              </w:rPr>
              <w:t>连接线</w:t>
            </w:r>
          </w:p>
        </w:tc>
        <w:tc>
          <w:tcPr>
            <w:tcW w:w="1305" w:type="dxa"/>
            <w:vAlign w:val="center"/>
          </w:tcPr>
          <w:p w14:paraId="12531A2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3.0</w:t>
            </w:r>
          </w:p>
        </w:tc>
        <w:tc>
          <w:tcPr>
            <w:tcW w:w="1003" w:type="dxa"/>
            <w:vAlign w:val="center"/>
          </w:tcPr>
          <w:p w14:paraId="5D47B12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0.6</w:t>
            </w:r>
          </w:p>
        </w:tc>
        <w:tc>
          <w:tcPr>
            <w:tcW w:w="982" w:type="dxa"/>
            <w:vAlign w:val="center"/>
          </w:tcPr>
          <w:p w14:paraId="180A156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0.6</w:t>
            </w:r>
          </w:p>
        </w:tc>
        <w:tc>
          <w:tcPr>
            <w:tcW w:w="1960" w:type="dxa"/>
            <w:vAlign w:val="center"/>
          </w:tcPr>
          <w:p w14:paraId="5E60AF8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3E7A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19050C22">
            <w:pPr>
              <w:spacing w:line="400" w:lineRule="exact"/>
              <w:jc w:val="center"/>
              <w:rPr>
                <w:rFonts w:ascii="宋体" w:hAnsi="宋体" w:eastAsia="宋体" w:cs="宋体"/>
                <w:color w:val="000000"/>
                <w:sz w:val="21"/>
                <w:szCs w:val="21"/>
              </w:rPr>
            </w:pPr>
          </w:p>
        </w:tc>
        <w:tc>
          <w:tcPr>
            <w:tcW w:w="626" w:type="dxa"/>
            <w:vMerge w:val="continue"/>
            <w:vAlign w:val="center"/>
          </w:tcPr>
          <w:p w14:paraId="08185B0C">
            <w:pPr>
              <w:spacing w:line="400" w:lineRule="exact"/>
              <w:jc w:val="center"/>
              <w:rPr>
                <w:rFonts w:ascii="宋体" w:hAnsi="宋体" w:eastAsia="宋体" w:cs="宋体"/>
                <w:color w:val="000000"/>
                <w:sz w:val="21"/>
                <w:szCs w:val="21"/>
              </w:rPr>
            </w:pPr>
          </w:p>
        </w:tc>
        <w:tc>
          <w:tcPr>
            <w:tcW w:w="2548" w:type="dxa"/>
            <w:vAlign w:val="center"/>
          </w:tcPr>
          <w:p w14:paraId="7352272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涪丰石高速湛普互通及其</w:t>
            </w:r>
            <w:r>
              <w:rPr>
                <w:rFonts w:hint="eastAsia" w:ascii="宋体" w:hAnsi="宋体" w:eastAsia="宋体" w:cs="宋体"/>
                <w:color w:val="000000"/>
                <w:kern w:val="0"/>
                <w:sz w:val="21"/>
                <w:szCs w:val="21"/>
                <w:lang w:eastAsia="zh-CN"/>
              </w:rPr>
              <w:t>连接</w:t>
            </w:r>
            <w:r>
              <w:rPr>
                <w:rFonts w:hint="eastAsia" w:ascii="宋体" w:hAnsi="宋体" w:eastAsia="宋体" w:cs="宋体"/>
                <w:color w:val="000000"/>
                <w:kern w:val="0"/>
                <w:sz w:val="21"/>
                <w:szCs w:val="21"/>
              </w:rPr>
              <w:t>线</w:t>
            </w:r>
          </w:p>
        </w:tc>
        <w:tc>
          <w:tcPr>
            <w:tcW w:w="1305" w:type="dxa"/>
            <w:vAlign w:val="center"/>
          </w:tcPr>
          <w:p w14:paraId="247E2D6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5.0</w:t>
            </w:r>
          </w:p>
        </w:tc>
        <w:tc>
          <w:tcPr>
            <w:tcW w:w="1003" w:type="dxa"/>
            <w:vAlign w:val="center"/>
          </w:tcPr>
          <w:p w14:paraId="484593F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1.9</w:t>
            </w:r>
          </w:p>
        </w:tc>
        <w:tc>
          <w:tcPr>
            <w:tcW w:w="982" w:type="dxa"/>
            <w:vAlign w:val="center"/>
          </w:tcPr>
          <w:p w14:paraId="1FD2A38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0.8</w:t>
            </w:r>
          </w:p>
        </w:tc>
        <w:tc>
          <w:tcPr>
            <w:tcW w:w="1960" w:type="dxa"/>
            <w:vAlign w:val="center"/>
          </w:tcPr>
          <w:p w14:paraId="277EF73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49DB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0A2C0CFA">
            <w:pPr>
              <w:spacing w:line="400" w:lineRule="exact"/>
              <w:jc w:val="center"/>
              <w:rPr>
                <w:rFonts w:ascii="宋体" w:hAnsi="宋体" w:eastAsia="宋体" w:cs="宋体"/>
                <w:color w:val="000000"/>
                <w:sz w:val="21"/>
                <w:szCs w:val="21"/>
              </w:rPr>
            </w:pPr>
          </w:p>
        </w:tc>
        <w:tc>
          <w:tcPr>
            <w:tcW w:w="626" w:type="dxa"/>
            <w:vMerge w:val="continue"/>
            <w:vAlign w:val="center"/>
          </w:tcPr>
          <w:p w14:paraId="079F0979">
            <w:pPr>
              <w:spacing w:line="400" w:lineRule="exact"/>
              <w:jc w:val="center"/>
              <w:rPr>
                <w:rFonts w:ascii="宋体" w:hAnsi="宋体" w:eastAsia="宋体" w:cs="宋体"/>
                <w:color w:val="000000"/>
                <w:sz w:val="21"/>
                <w:szCs w:val="21"/>
              </w:rPr>
            </w:pPr>
          </w:p>
        </w:tc>
        <w:tc>
          <w:tcPr>
            <w:tcW w:w="2548" w:type="dxa"/>
            <w:vAlign w:val="center"/>
          </w:tcPr>
          <w:p w14:paraId="19CFEB9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重庆港丰都港区水天坪作业区公路连接线</w:t>
            </w:r>
          </w:p>
        </w:tc>
        <w:tc>
          <w:tcPr>
            <w:tcW w:w="1305" w:type="dxa"/>
            <w:vAlign w:val="center"/>
          </w:tcPr>
          <w:p w14:paraId="364D2B3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3.5</w:t>
            </w:r>
          </w:p>
        </w:tc>
        <w:tc>
          <w:tcPr>
            <w:tcW w:w="1003" w:type="dxa"/>
            <w:vAlign w:val="center"/>
          </w:tcPr>
          <w:p w14:paraId="3067873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0.6</w:t>
            </w:r>
          </w:p>
        </w:tc>
        <w:tc>
          <w:tcPr>
            <w:tcW w:w="982" w:type="dxa"/>
            <w:vAlign w:val="center"/>
          </w:tcPr>
          <w:p w14:paraId="7508896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0.6</w:t>
            </w:r>
          </w:p>
        </w:tc>
        <w:tc>
          <w:tcPr>
            <w:tcW w:w="1960" w:type="dxa"/>
            <w:vAlign w:val="center"/>
          </w:tcPr>
          <w:p w14:paraId="7803E83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市级规划项目</w:t>
            </w:r>
          </w:p>
        </w:tc>
      </w:tr>
      <w:tr w14:paraId="0BEA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17BBF1C8">
            <w:pPr>
              <w:spacing w:line="400" w:lineRule="exact"/>
              <w:jc w:val="center"/>
              <w:rPr>
                <w:rFonts w:ascii="宋体" w:hAnsi="宋体" w:eastAsia="宋体" w:cs="宋体"/>
                <w:color w:val="000000"/>
                <w:sz w:val="21"/>
                <w:szCs w:val="21"/>
              </w:rPr>
            </w:pPr>
          </w:p>
        </w:tc>
        <w:tc>
          <w:tcPr>
            <w:tcW w:w="626" w:type="dxa"/>
            <w:vMerge w:val="continue"/>
            <w:vAlign w:val="center"/>
          </w:tcPr>
          <w:p w14:paraId="497762F5">
            <w:pPr>
              <w:spacing w:line="400" w:lineRule="exact"/>
              <w:jc w:val="center"/>
              <w:rPr>
                <w:rFonts w:ascii="宋体" w:hAnsi="宋体" w:eastAsia="宋体" w:cs="宋体"/>
                <w:color w:val="000000"/>
                <w:sz w:val="21"/>
                <w:szCs w:val="21"/>
              </w:rPr>
            </w:pPr>
          </w:p>
        </w:tc>
        <w:tc>
          <w:tcPr>
            <w:tcW w:w="2548" w:type="dxa"/>
            <w:vAlign w:val="center"/>
          </w:tcPr>
          <w:p w14:paraId="48529F6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重点工业项目配套道路工程</w:t>
            </w:r>
          </w:p>
        </w:tc>
        <w:tc>
          <w:tcPr>
            <w:tcW w:w="1305" w:type="dxa"/>
            <w:vAlign w:val="center"/>
          </w:tcPr>
          <w:p w14:paraId="47E0C7B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20.0</w:t>
            </w:r>
          </w:p>
        </w:tc>
        <w:tc>
          <w:tcPr>
            <w:tcW w:w="1003" w:type="dxa"/>
            <w:vAlign w:val="center"/>
          </w:tcPr>
          <w:p w14:paraId="55B0544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0.4</w:t>
            </w:r>
          </w:p>
        </w:tc>
        <w:tc>
          <w:tcPr>
            <w:tcW w:w="982" w:type="dxa"/>
            <w:vAlign w:val="center"/>
          </w:tcPr>
          <w:p w14:paraId="3F798DA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0.4</w:t>
            </w:r>
          </w:p>
        </w:tc>
        <w:tc>
          <w:tcPr>
            <w:tcW w:w="1960" w:type="dxa"/>
            <w:vAlign w:val="center"/>
          </w:tcPr>
          <w:p w14:paraId="6DABF5B8">
            <w:pPr>
              <w:spacing w:line="400" w:lineRule="exact"/>
              <w:jc w:val="center"/>
              <w:rPr>
                <w:rFonts w:ascii="宋体" w:hAnsi="宋体" w:eastAsia="宋体" w:cs="宋体"/>
                <w:color w:val="000000"/>
                <w:sz w:val="21"/>
                <w:szCs w:val="21"/>
              </w:rPr>
            </w:pPr>
          </w:p>
        </w:tc>
      </w:tr>
      <w:tr w14:paraId="209D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0A211BF9">
            <w:pPr>
              <w:spacing w:line="400" w:lineRule="exact"/>
              <w:jc w:val="center"/>
              <w:rPr>
                <w:rFonts w:ascii="宋体" w:hAnsi="宋体" w:eastAsia="宋体" w:cs="宋体"/>
                <w:color w:val="000000"/>
                <w:sz w:val="21"/>
                <w:szCs w:val="21"/>
              </w:rPr>
            </w:pPr>
          </w:p>
        </w:tc>
        <w:tc>
          <w:tcPr>
            <w:tcW w:w="3174" w:type="dxa"/>
            <w:gridSpan w:val="2"/>
            <w:vAlign w:val="center"/>
          </w:tcPr>
          <w:p w14:paraId="5EE04AF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18FB518E">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41.0</w:t>
            </w:r>
          </w:p>
        </w:tc>
        <w:tc>
          <w:tcPr>
            <w:tcW w:w="1003" w:type="dxa"/>
            <w:vAlign w:val="center"/>
          </w:tcPr>
          <w:p w14:paraId="6581EDF8">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13.1</w:t>
            </w:r>
          </w:p>
        </w:tc>
        <w:tc>
          <w:tcPr>
            <w:tcW w:w="982" w:type="dxa"/>
            <w:vAlign w:val="center"/>
          </w:tcPr>
          <w:p w14:paraId="224D6BF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12.0</w:t>
            </w:r>
          </w:p>
        </w:tc>
        <w:tc>
          <w:tcPr>
            <w:tcW w:w="1960" w:type="dxa"/>
            <w:vAlign w:val="center"/>
          </w:tcPr>
          <w:p w14:paraId="6DA0F280">
            <w:pPr>
              <w:spacing w:line="400" w:lineRule="exact"/>
              <w:jc w:val="center"/>
              <w:rPr>
                <w:rFonts w:ascii="宋体" w:hAnsi="宋体" w:eastAsia="宋体" w:cs="宋体"/>
                <w:color w:val="000000"/>
                <w:sz w:val="21"/>
                <w:szCs w:val="21"/>
              </w:rPr>
            </w:pPr>
          </w:p>
        </w:tc>
      </w:tr>
      <w:tr w14:paraId="672C5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53" w:type="dxa"/>
            <w:vMerge w:val="continue"/>
            <w:vAlign w:val="center"/>
          </w:tcPr>
          <w:p w14:paraId="6EFA2110">
            <w:pPr>
              <w:spacing w:line="400" w:lineRule="exact"/>
              <w:jc w:val="center"/>
              <w:rPr>
                <w:rFonts w:ascii="宋体" w:hAnsi="宋体" w:eastAsia="宋体" w:cs="宋体"/>
                <w:color w:val="000000"/>
                <w:sz w:val="21"/>
                <w:szCs w:val="21"/>
              </w:rPr>
            </w:pPr>
          </w:p>
        </w:tc>
        <w:tc>
          <w:tcPr>
            <w:tcW w:w="626" w:type="dxa"/>
            <w:vMerge w:val="restart"/>
            <w:vAlign w:val="center"/>
          </w:tcPr>
          <w:p w14:paraId="61393017">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新铁铝项目</w:t>
            </w:r>
          </w:p>
        </w:tc>
        <w:tc>
          <w:tcPr>
            <w:tcW w:w="2548" w:type="dxa"/>
            <w:vAlign w:val="center"/>
          </w:tcPr>
          <w:p w14:paraId="2FA3148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X005金台至赤泥场</w:t>
            </w:r>
          </w:p>
        </w:tc>
        <w:tc>
          <w:tcPr>
            <w:tcW w:w="1305" w:type="dxa"/>
            <w:vAlign w:val="center"/>
          </w:tcPr>
          <w:p w14:paraId="5EA6F29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11.4</w:t>
            </w:r>
          </w:p>
        </w:tc>
        <w:tc>
          <w:tcPr>
            <w:tcW w:w="1003" w:type="dxa"/>
            <w:vAlign w:val="center"/>
          </w:tcPr>
          <w:p w14:paraId="6FEE2C7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982" w:type="dxa"/>
            <w:vAlign w:val="center"/>
          </w:tcPr>
          <w:p w14:paraId="29C78C5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1960" w:type="dxa"/>
            <w:vAlign w:val="center"/>
          </w:tcPr>
          <w:p w14:paraId="113568E8">
            <w:pPr>
              <w:spacing w:line="400" w:lineRule="exact"/>
              <w:jc w:val="center"/>
              <w:rPr>
                <w:rFonts w:ascii="宋体" w:hAnsi="宋体" w:eastAsia="宋体" w:cs="宋体"/>
                <w:color w:val="000000"/>
                <w:sz w:val="21"/>
                <w:szCs w:val="21"/>
              </w:rPr>
            </w:pPr>
          </w:p>
        </w:tc>
      </w:tr>
      <w:tr w14:paraId="43DB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3F1F6869">
            <w:pPr>
              <w:spacing w:line="400" w:lineRule="exact"/>
              <w:jc w:val="center"/>
              <w:rPr>
                <w:rFonts w:ascii="宋体" w:hAnsi="宋体" w:eastAsia="宋体" w:cs="宋体"/>
                <w:color w:val="000000"/>
                <w:sz w:val="21"/>
                <w:szCs w:val="21"/>
              </w:rPr>
            </w:pPr>
          </w:p>
        </w:tc>
        <w:tc>
          <w:tcPr>
            <w:tcW w:w="626" w:type="dxa"/>
            <w:vMerge w:val="continue"/>
            <w:vAlign w:val="center"/>
          </w:tcPr>
          <w:p w14:paraId="0161FEA8">
            <w:pPr>
              <w:spacing w:line="400" w:lineRule="exact"/>
              <w:jc w:val="center"/>
              <w:rPr>
                <w:rFonts w:ascii="宋体" w:hAnsi="宋体" w:eastAsia="宋体" w:cs="宋体"/>
                <w:color w:val="000000"/>
                <w:sz w:val="21"/>
                <w:szCs w:val="21"/>
              </w:rPr>
            </w:pPr>
          </w:p>
        </w:tc>
        <w:tc>
          <w:tcPr>
            <w:tcW w:w="2548" w:type="dxa"/>
            <w:vAlign w:val="center"/>
          </w:tcPr>
          <w:p w14:paraId="44136276">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XB01龙孔互通连接线至金台</w:t>
            </w:r>
          </w:p>
        </w:tc>
        <w:tc>
          <w:tcPr>
            <w:tcW w:w="1305" w:type="dxa"/>
            <w:vAlign w:val="center"/>
          </w:tcPr>
          <w:p w14:paraId="3B953FD2">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4.5</w:t>
            </w:r>
          </w:p>
        </w:tc>
        <w:tc>
          <w:tcPr>
            <w:tcW w:w="1003" w:type="dxa"/>
            <w:vAlign w:val="center"/>
          </w:tcPr>
          <w:p w14:paraId="202F0B7B">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982" w:type="dxa"/>
            <w:vAlign w:val="center"/>
          </w:tcPr>
          <w:p w14:paraId="18000D6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0.1</w:t>
            </w:r>
          </w:p>
        </w:tc>
        <w:tc>
          <w:tcPr>
            <w:tcW w:w="1960" w:type="dxa"/>
            <w:vAlign w:val="center"/>
          </w:tcPr>
          <w:p w14:paraId="52E86386">
            <w:pPr>
              <w:spacing w:line="400" w:lineRule="exact"/>
              <w:jc w:val="center"/>
              <w:rPr>
                <w:rFonts w:ascii="宋体" w:hAnsi="宋体" w:eastAsia="宋体" w:cs="宋体"/>
                <w:color w:val="000000"/>
                <w:sz w:val="21"/>
                <w:szCs w:val="21"/>
              </w:rPr>
            </w:pPr>
          </w:p>
        </w:tc>
      </w:tr>
      <w:tr w14:paraId="6B4D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582F6C2E">
            <w:pPr>
              <w:spacing w:line="400" w:lineRule="exact"/>
              <w:jc w:val="center"/>
              <w:rPr>
                <w:rFonts w:ascii="宋体" w:hAnsi="宋体" w:eastAsia="宋体" w:cs="宋体"/>
                <w:color w:val="000000"/>
                <w:sz w:val="21"/>
                <w:szCs w:val="21"/>
              </w:rPr>
            </w:pPr>
          </w:p>
        </w:tc>
        <w:tc>
          <w:tcPr>
            <w:tcW w:w="3174" w:type="dxa"/>
            <w:gridSpan w:val="2"/>
            <w:vAlign w:val="center"/>
          </w:tcPr>
          <w:p w14:paraId="52DBB2AA">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76755B1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15.9</w:t>
            </w:r>
          </w:p>
        </w:tc>
        <w:tc>
          <w:tcPr>
            <w:tcW w:w="1003" w:type="dxa"/>
            <w:vAlign w:val="center"/>
          </w:tcPr>
          <w:p w14:paraId="70F67F01">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982" w:type="dxa"/>
            <w:vAlign w:val="center"/>
          </w:tcPr>
          <w:p w14:paraId="15BA2275">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0.3</w:t>
            </w:r>
          </w:p>
        </w:tc>
        <w:tc>
          <w:tcPr>
            <w:tcW w:w="1960" w:type="dxa"/>
            <w:vAlign w:val="center"/>
          </w:tcPr>
          <w:p w14:paraId="6DDC810A">
            <w:pPr>
              <w:spacing w:line="400" w:lineRule="exact"/>
              <w:jc w:val="center"/>
              <w:rPr>
                <w:rFonts w:ascii="宋体" w:hAnsi="宋体" w:eastAsia="宋体" w:cs="宋体"/>
                <w:color w:val="000000"/>
                <w:sz w:val="21"/>
                <w:szCs w:val="21"/>
              </w:rPr>
            </w:pPr>
          </w:p>
        </w:tc>
      </w:tr>
      <w:tr w14:paraId="28A5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853" w:type="dxa"/>
            <w:vMerge w:val="restart"/>
            <w:vAlign w:val="center"/>
          </w:tcPr>
          <w:p w14:paraId="7A4F0646">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交</w:t>
            </w:r>
          </w:p>
          <w:p w14:paraId="702EFF28">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通     +     工</w:t>
            </w:r>
          </w:p>
          <w:p w14:paraId="746FB330">
            <w:pPr>
              <w:spacing w:line="400" w:lineRule="exact"/>
              <w:jc w:val="center"/>
              <w:rPr>
                <w:rFonts w:ascii="宋体" w:hAnsi="宋体" w:eastAsia="宋体" w:cs="宋体"/>
                <w:color w:val="000000"/>
                <w:sz w:val="21"/>
                <w:szCs w:val="21"/>
              </w:rPr>
            </w:pPr>
            <w:r>
              <w:rPr>
                <w:rFonts w:hint="eastAsia" w:ascii="宋体" w:hAnsi="宋体" w:eastAsia="宋体" w:cs="宋体"/>
                <w:color w:val="000000"/>
                <w:kern w:val="0"/>
                <w:sz w:val="21"/>
                <w:szCs w:val="21"/>
              </w:rPr>
              <w:t>业</w:t>
            </w:r>
          </w:p>
        </w:tc>
        <w:tc>
          <w:tcPr>
            <w:tcW w:w="626" w:type="dxa"/>
            <w:vAlign w:val="center"/>
          </w:tcPr>
          <w:p w14:paraId="17E10A7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乡村道</w:t>
            </w:r>
          </w:p>
        </w:tc>
        <w:tc>
          <w:tcPr>
            <w:tcW w:w="2548" w:type="dxa"/>
            <w:vAlign w:val="center"/>
          </w:tcPr>
          <w:p w14:paraId="1E20A82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仁梁路</w:t>
            </w:r>
          </w:p>
        </w:tc>
        <w:tc>
          <w:tcPr>
            <w:tcW w:w="1305" w:type="dxa"/>
            <w:vAlign w:val="center"/>
          </w:tcPr>
          <w:p w14:paraId="4C6D6B0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17.0</w:t>
            </w:r>
          </w:p>
        </w:tc>
        <w:tc>
          <w:tcPr>
            <w:tcW w:w="1003" w:type="dxa"/>
            <w:vAlign w:val="center"/>
          </w:tcPr>
          <w:p w14:paraId="5967D43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982" w:type="dxa"/>
            <w:vAlign w:val="center"/>
          </w:tcPr>
          <w:p w14:paraId="296CC49C">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1960" w:type="dxa"/>
            <w:vAlign w:val="center"/>
          </w:tcPr>
          <w:p w14:paraId="6D292253">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县级规划项目</w:t>
            </w:r>
          </w:p>
        </w:tc>
      </w:tr>
      <w:tr w14:paraId="24E9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53" w:type="dxa"/>
            <w:vMerge w:val="continue"/>
            <w:vAlign w:val="center"/>
          </w:tcPr>
          <w:p w14:paraId="3006E6DF">
            <w:pPr>
              <w:spacing w:line="400" w:lineRule="exact"/>
              <w:jc w:val="center"/>
              <w:rPr>
                <w:rFonts w:ascii="宋体" w:hAnsi="宋体" w:eastAsia="宋体" w:cs="宋体"/>
                <w:color w:val="000000"/>
                <w:sz w:val="21"/>
                <w:szCs w:val="21"/>
              </w:rPr>
            </w:pPr>
          </w:p>
        </w:tc>
        <w:tc>
          <w:tcPr>
            <w:tcW w:w="3174" w:type="dxa"/>
            <w:gridSpan w:val="2"/>
            <w:vAlign w:val="center"/>
          </w:tcPr>
          <w:p w14:paraId="25AD25E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小  计</w:t>
            </w:r>
          </w:p>
        </w:tc>
        <w:tc>
          <w:tcPr>
            <w:tcW w:w="1305" w:type="dxa"/>
            <w:vAlign w:val="center"/>
          </w:tcPr>
          <w:p w14:paraId="24B3F4A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17.0</w:t>
            </w:r>
          </w:p>
        </w:tc>
        <w:tc>
          <w:tcPr>
            <w:tcW w:w="1003" w:type="dxa"/>
            <w:vAlign w:val="center"/>
          </w:tcPr>
          <w:p w14:paraId="6B4B51B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982" w:type="dxa"/>
            <w:vAlign w:val="center"/>
          </w:tcPr>
          <w:p w14:paraId="3B6A86D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0.2</w:t>
            </w:r>
          </w:p>
        </w:tc>
        <w:tc>
          <w:tcPr>
            <w:tcW w:w="1960" w:type="dxa"/>
            <w:vAlign w:val="center"/>
          </w:tcPr>
          <w:p w14:paraId="3821C047">
            <w:pPr>
              <w:spacing w:line="400" w:lineRule="exact"/>
              <w:jc w:val="center"/>
              <w:rPr>
                <w:rFonts w:ascii="宋体" w:hAnsi="宋体" w:eastAsia="宋体" w:cs="宋体"/>
                <w:color w:val="000000"/>
                <w:sz w:val="21"/>
                <w:szCs w:val="21"/>
              </w:rPr>
            </w:pPr>
          </w:p>
        </w:tc>
      </w:tr>
      <w:tr w14:paraId="7F1C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853" w:type="dxa"/>
            <w:vMerge w:val="continue"/>
            <w:shd w:val="clear" w:color="auto" w:fill="auto"/>
            <w:vAlign w:val="center"/>
          </w:tcPr>
          <w:p w14:paraId="2104DFF9">
            <w:pPr>
              <w:spacing w:line="400" w:lineRule="exact"/>
              <w:jc w:val="center"/>
              <w:rPr>
                <w:rFonts w:ascii="宋体" w:hAnsi="宋体" w:eastAsia="宋体" w:cs="宋体"/>
                <w:color w:val="000000"/>
                <w:sz w:val="21"/>
                <w:szCs w:val="21"/>
              </w:rPr>
            </w:pPr>
          </w:p>
        </w:tc>
        <w:tc>
          <w:tcPr>
            <w:tcW w:w="3174" w:type="dxa"/>
            <w:gridSpan w:val="2"/>
            <w:shd w:val="clear" w:color="auto" w:fill="auto"/>
            <w:vAlign w:val="center"/>
          </w:tcPr>
          <w:p w14:paraId="76AF81CF">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合  计</w:t>
            </w:r>
          </w:p>
        </w:tc>
        <w:tc>
          <w:tcPr>
            <w:tcW w:w="1305" w:type="dxa"/>
            <w:shd w:val="clear" w:color="auto" w:fill="auto"/>
            <w:vAlign w:val="center"/>
          </w:tcPr>
          <w:p w14:paraId="51672C74">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103.3</w:t>
            </w:r>
          </w:p>
        </w:tc>
        <w:tc>
          <w:tcPr>
            <w:tcW w:w="1003" w:type="dxa"/>
            <w:shd w:val="clear" w:color="auto" w:fill="auto"/>
            <w:vAlign w:val="center"/>
          </w:tcPr>
          <w:p w14:paraId="0CFEA0B0">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14.0</w:t>
            </w:r>
          </w:p>
        </w:tc>
        <w:tc>
          <w:tcPr>
            <w:tcW w:w="982" w:type="dxa"/>
            <w:shd w:val="clear" w:color="auto" w:fill="auto"/>
            <w:vAlign w:val="center"/>
          </w:tcPr>
          <w:p w14:paraId="3813FAED">
            <w:pPr>
              <w:spacing w:line="400" w:lineRule="exact"/>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12.9</w:t>
            </w:r>
          </w:p>
        </w:tc>
        <w:tc>
          <w:tcPr>
            <w:tcW w:w="1960" w:type="dxa"/>
            <w:shd w:val="clear" w:color="auto" w:fill="FFFFFF"/>
            <w:vAlign w:val="center"/>
          </w:tcPr>
          <w:p w14:paraId="673AD83F">
            <w:pPr>
              <w:spacing w:line="400" w:lineRule="exact"/>
              <w:jc w:val="center"/>
              <w:rPr>
                <w:rFonts w:ascii="宋体" w:hAnsi="宋体" w:eastAsia="宋体" w:cs="宋体"/>
                <w:color w:val="000000"/>
                <w:sz w:val="21"/>
                <w:szCs w:val="21"/>
              </w:rPr>
            </w:pPr>
          </w:p>
        </w:tc>
      </w:tr>
      <w:tr w14:paraId="1C34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853" w:type="dxa"/>
            <w:vMerge w:val="continue"/>
            <w:shd w:val="clear" w:color="auto" w:fill="auto"/>
            <w:vAlign w:val="center"/>
          </w:tcPr>
          <w:p w14:paraId="1E3F3024">
            <w:pPr>
              <w:spacing w:line="400" w:lineRule="exact"/>
              <w:jc w:val="center"/>
              <w:rPr>
                <w:rFonts w:ascii="宋体" w:hAnsi="宋体" w:eastAsia="宋体" w:cs="宋体"/>
                <w:color w:val="000000"/>
                <w:sz w:val="21"/>
                <w:szCs w:val="21"/>
              </w:rPr>
            </w:pPr>
          </w:p>
        </w:tc>
        <w:tc>
          <w:tcPr>
            <w:tcW w:w="3174" w:type="dxa"/>
            <w:gridSpan w:val="2"/>
            <w:shd w:val="clear" w:color="auto" w:fill="auto"/>
            <w:vAlign w:val="center"/>
          </w:tcPr>
          <w:p w14:paraId="4F671E06">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共  计</w:t>
            </w:r>
          </w:p>
        </w:tc>
        <w:tc>
          <w:tcPr>
            <w:tcW w:w="1305" w:type="dxa"/>
            <w:shd w:val="clear" w:color="auto" w:fill="auto"/>
            <w:vAlign w:val="center"/>
          </w:tcPr>
          <w:p w14:paraId="48F0BDC3">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600.8</w:t>
            </w:r>
          </w:p>
        </w:tc>
        <w:tc>
          <w:tcPr>
            <w:tcW w:w="1003" w:type="dxa"/>
            <w:shd w:val="clear" w:color="auto" w:fill="auto"/>
            <w:vAlign w:val="center"/>
          </w:tcPr>
          <w:p w14:paraId="0B7E142A">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205.5</w:t>
            </w:r>
          </w:p>
        </w:tc>
        <w:tc>
          <w:tcPr>
            <w:tcW w:w="982" w:type="dxa"/>
            <w:shd w:val="clear" w:color="auto" w:fill="auto"/>
            <w:vAlign w:val="center"/>
          </w:tcPr>
          <w:p w14:paraId="694480CD">
            <w:pPr>
              <w:spacing w:line="400" w:lineRule="exact"/>
              <w:jc w:val="center"/>
              <w:textAlignment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105.6</w:t>
            </w:r>
          </w:p>
        </w:tc>
        <w:tc>
          <w:tcPr>
            <w:tcW w:w="1960" w:type="dxa"/>
            <w:shd w:val="clear" w:color="auto" w:fill="FFFFFF"/>
            <w:vAlign w:val="center"/>
          </w:tcPr>
          <w:p w14:paraId="7A08C9B3">
            <w:pPr>
              <w:spacing w:line="400" w:lineRule="exact"/>
              <w:jc w:val="center"/>
              <w:rPr>
                <w:rFonts w:ascii="宋体" w:hAnsi="宋体" w:eastAsia="宋体" w:cs="宋体"/>
                <w:color w:val="000000"/>
                <w:sz w:val="21"/>
                <w:szCs w:val="21"/>
              </w:rPr>
            </w:pPr>
          </w:p>
        </w:tc>
      </w:tr>
    </w:tbl>
    <w:p w14:paraId="154D0A74">
      <w:pPr>
        <w:pStyle w:val="2"/>
      </w:pPr>
    </w:p>
    <w:p w14:paraId="692FCC16">
      <w:pPr>
        <w:pStyle w:val="3"/>
        <w:spacing w:beforeLines="0" w:line="600" w:lineRule="exact"/>
        <w:rPr>
          <w:rFonts w:ascii="Times New Roman" w:hAnsi="Times New Roman" w:cs="Times New Roman"/>
          <w:b w:val="0"/>
          <w:bCs w:val="0"/>
          <w:sz w:val="36"/>
          <w:szCs w:val="36"/>
        </w:rPr>
      </w:pPr>
      <w:bookmarkStart w:id="90" w:name="_Toc20729"/>
    </w:p>
    <w:p w14:paraId="37CEA19D">
      <w:pPr>
        <w:pStyle w:val="3"/>
        <w:spacing w:beforeLines="0" w:line="600" w:lineRule="exact"/>
        <w:rPr>
          <w:rFonts w:ascii="Times New Roman" w:hAnsi="Times New Roman" w:cs="Times New Roman"/>
          <w:b w:val="0"/>
          <w:bCs w:val="0"/>
          <w:sz w:val="36"/>
          <w:szCs w:val="36"/>
        </w:rPr>
      </w:pPr>
    </w:p>
    <w:p w14:paraId="3526DADD">
      <w:pPr>
        <w:pStyle w:val="3"/>
        <w:spacing w:beforeLines="0" w:line="600" w:lineRule="exact"/>
        <w:rPr>
          <w:rFonts w:ascii="Times New Roman" w:hAnsi="Times New Roman" w:cs="Times New Roman"/>
          <w:b w:val="0"/>
          <w:bCs w:val="0"/>
          <w:sz w:val="36"/>
          <w:szCs w:val="36"/>
        </w:rPr>
      </w:pPr>
    </w:p>
    <w:p w14:paraId="4791690C">
      <w:pPr>
        <w:pStyle w:val="3"/>
        <w:spacing w:beforeLines="0" w:line="600" w:lineRule="exact"/>
        <w:rPr>
          <w:rFonts w:ascii="Times New Roman" w:hAnsi="Times New Roman" w:cs="Times New Roman"/>
          <w:b w:val="0"/>
          <w:bCs w:val="0"/>
          <w:sz w:val="36"/>
          <w:szCs w:val="36"/>
        </w:rPr>
      </w:pPr>
    </w:p>
    <w:p w14:paraId="7357E033">
      <w:pPr>
        <w:pStyle w:val="3"/>
        <w:spacing w:beforeLines="0" w:line="600" w:lineRule="exact"/>
        <w:rPr>
          <w:rFonts w:ascii="Times New Roman" w:hAnsi="Times New Roman" w:cs="Times New Roman"/>
          <w:b w:val="0"/>
          <w:bCs w:val="0"/>
          <w:sz w:val="36"/>
          <w:szCs w:val="36"/>
        </w:rPr>
      </w:pPr>
      <w:r>
        <w:rPr>
          <w:rFonts w:ascii="Times New Roman" w:hAnsi="Times New Roman" w:cs="Times New Roman"/>
          <w:b w:val="0"/>
          <w:bCs w:val="0"/>
          <w:sz w:val="36"/>
          <w:szCs w:val="36"/>
        </w:rPr>
        <w:t xml:space="preserve">第四章  </w:t>
      </w:r>
      <w:r>
        <w:rPr>
          <w:rFonts w:hint="eastAsia" w:ascii="Times New Roman" w:hAnsi="Times New Roman" w:cs="Times New Roman"/>
          <w:b w:val="0"/>
          <w:bCs w:val="0"/>
          <w:sz w:val="36"/>
          <w:szCs w:val="36"/>
        </w:rPr>
        <w:t>“</w:t>
      </w:r>
      <w:r>
        <w:rPr>
          <w:rFonts w:ascii="Times New Roman" w:hAnsi="Times New Roman" w:cs="Times New Roman"/>
          <w:b w:val="0"/>
          <w:bCs w:val="0"/>
          <w:sz w:val="36"/>
          <w:szCs w:val="36"/>
        </w:rPr>
        <w:t>十四五</w:t>
      </w:r>
      <w:r>
        <w:rPr>
          <w:rFonts w:hint="eastAsia" w:ascii="Times New Roman" w:hAnsi="Times New Roman" w:cs="Times New Roman"/>
          <w:b w:val="0"/>
          <w:bCs w:val="0"/>
          <w:sz w:val="36"/>
          <w:szCs w:val="36"/>
        </w:rPr>
        <w:t>”期间</w:t>
      </w:r>
      <w:r>
        <w:rPr>
          <w:rFonts w:ascii="Times New Roman" w:hAnsi="Times New Roman" w:cs="Times New Roman"/>
          <w:b w:val="0"/>
          <w:bCs w:val="0"/>
          <w:sz w:val="36"/>
          <w:szCs w:val="36"/>
        </w:rPr>
        <w:t>重点任务</w:t>
      </w:r>
      <w:bookmarkEnd w:id="90"/>
    </w:p>
    <w:p w14:paraId="3B572F95">
      <w:pPr>
        <w:pStyle w:val="3"/>
        <w:spacing w:beforeLines="0" w:line="600" w:lineRule="exact"/>
        <w:rPr>
          <w:rFonts w:ascii="Times New Roman" w:hAnsi="Times New Roman" w:cs="Times New Roman"/>
          <w:b w:val="0"/>
          <w:bCs w:val="0"/>
          <w:sz w:val="36"/>
          <w:szCs w:val="36"/>
        </w:rPr>
      </w:pPr>
    </w:p>
    <w:p w14:paraId="37FF8F71">
      <w:pPr>
        <w:pStyle w:val="4"/>
        <w:keepNext w:val="0"/>
        <w:keepLines w:val="0"/>
        <w:widowControl w:val="0"/>
        <w:spacing w:beforeLines="0" w:afterLines="0"/>
        <w:ind w:firstLine="640"/>
        <w:rPr>
          <w:rFonts w:eastAsia="方正黑体_GBK"/>
          <w:b w:val="0"/>
          <w:bCs w:val="0"/>
          <w:kern w:val="28"/>
        </w:rPr>
      </w:pPr>
      <w:bookmarkStart w:id="91" w:name="_Toc24518"/>
      <w:bookmarkStart w:id="92" w:name="_Toc77674802"/>
      <w:bookmarkStart w:id="93" w:name="_Toc51758671"/>
      <w:r>
        <w:rPr>
          <w:rFonts w:eastAsia="方正黑体_GBK"/>
          <w:b w:val="0"/>
          <w:bCs w:val="0"/>
          <w:kern w:val="28"/>
        </w:rPr>
        <w:t>一、打通大通道，构建快速网</w:t>
      </w:r>
      <w:bookmarkEnd w:id="91"/>
    </w:p>
    <w:p w14:paraId="25C35B75">
      <w:pPr>
        <w:spacing w:line="600" w:lineRule="exact"/>
        <w:ind w:firstLine="640"/>
        <w:rPr>
          <w:rFonts w:ascii="Times New Roman" w:hAnsi="Times New Roman"/>
          <w:szCs w:val="32"/>
        </w:rPr>
      </w:pPr>
      <w:r>
        <w:rPr>
          <w:rFonts w:ascii="Times New Roman" w:hAnsi="Times New Roman"/>
          <w:szCs w:val="32"/>
        </w:rPr>
        <w:t>按照陈敏尔书记提出的交通强市建设</w:t>
      </w:r>
      <w:r>
        <w:rPr>
          <w:rFonts w:hint="eastAsia" w:ascii="Times New Roman" w:hAnsi="Times New Roman"/>
          <w:szCs w:val="32"/>
        </w:rPr>
        <w:t>“</w:t>
      </w:r>
      <w:r>
        <w:rPr>
          <w:rFonts w:ascii="Times New Roman" w:hAnsi="Times New Roman"/>
          <w:szCs w:val="32"/>
        </w:rPr>
        <w:t>强通道，主动融入新发展格局</w:t>
      </w:r>
      <w:r>
        <w:rPr>
          <w:rFonts w:hint="eastAsia" w:ascii="Times New Roman" w:hAnsi="Times New Roman"/>
          <w:szCs w:val="32"/>
        </w:rPr>
        <w:t>”</w:t>
      </w:r>
      <w:r>
        <w:rPr>
          <w:rFonts w:ascii="Times New Roman" w:hAnsi="Times New Roman"/>
          <w:szCs w:val="32"/>
        </w:rPr>
        <w:t>要求，优化提升长江经济带通道，加快构建以长江黄金水道和铁路、高速公路为主的沿江综合立体交通走廊，对照</w:t>
      </w:r>
      <w:r>
        <w:rPr>
          <w:rFonts w:hint="eastAsia" w:ascii="Times New Roman" w:hAnsi="Times New Roman"/>
          <w:szCs w:val="32"/>
        </w:rPr>
        <w:t>“</w:t>
      </w:r>
      <w:r>
        <w:rPr>
          <w:rFonts w:ascii="Times New Roman" w:hAnsi="Times New Roman"/>
          <w:szCs w:val="32"/>
        </w:rPr>
        <w:t>一通道一枢纽一中心一基地</w:t>
      </w:r>
      <w:r>
        <w:rPr>
          <w:rFonts w:hint="eastAsia" w:ascii="Times New Roman" w:hAnsi="Times New Roman"/>
          <w:szCs w:val="32"/>
        </w:rPr>
        <w:t>”</w:t>
      </w:r>
      <w:r>
        <w:rPr>
          <w:rFonts w:ascii="Times New Roman" w:hAnsi="Times New Roman"/>
          <w:szCs w:val="32"/>
        </w:rPr>
        <w:t>总体目标定位，</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期间，把打通对外大通道摆在优先位置，着力推进全县高速铁路、高速公路和通用机场建设，进一步提升全县高速铁路、高速公路通道水平，全面打通丰都对外大通道。通过快速网建设，实现</w:t>
      </w:r>
      <w:r>
        <w:rPr>
          <w:rFonts w:hint="eastAsia" w:ascii="Times New Roman" w:hAnsi="Times New Roman"/>
          <w:szCs w:val="32"/>
        </w:rPr>
        <w:t>“</w:t>
      </w:r>
      <w:r>
        <w:rPr>
          <w:rFonts w:ascii="Times New Roman" w:hAnsi="Times New Roman"/>
          <w:szCs w:val="32"/>
        </w:rPr>
        <w:t>半小时重庆、2小时成都、5小时上海</w:t>
      </w:r>
      <w:r>
        <w:rPr>
          <w:rFonts w:hint="eastAsia" w:ascii="Times New Roman" w:hAnsi="Times New Roman"/>
          <w:szCs w:val="32"/>
        </w:rPr>
        <w:t>”</w:t>
      </w:r>
      <w:r>
        <w:rPr>
          <w:rFonts w:ascii="Times New Roman" w:hAnsi="Times New Roman"/>
          <w:szCs w:val="32"/>
        </w:rPr>
        <w:t>的交通通勤目标，让道路成风景，建设人民满意交通。</w:t>
      </w:r>
    </w:p>
    <w:p w14:paraId="03839DF8">
      <w:pPr>
        <w:spacing w:line="600" w:lineRule="exact"/>
        <w:ind w:firstLine="640" w:firstLineChars="200"/>
        <w:rPr>
          <w:rFonts w:ascii="Times New Roman" w:hAnsi="Times New Roman"/>
          <w:szCs w:val="32"/>
        </w:rPr>
      </w:pPr>
      <w:r>
        <w:rPr>
          <w:rFonts w:hint="eastAsia" w:ascii="Times New Roman" w:hAnsi="Times New Roman" w:eastAsia="方正楷体_GBK"/>
          <w:szCs w:val="32"/>
        </w:rPr>
        <w:t>（一）</w:t>
      </w:r>
      <w:r>
        <w:rPr>
          <w:rFonts w:ascii="Times New Roman" w:hAnsi="Times New Roman" w:eastAsia="方正楷体_GBK"/>
          <w:szCs w:val="32"/>
        </w:rPr>
        <w:t>构建</w:t>
      </w:r>
      <w:r>
        <w:rPr>
          <w:rFonts w:hint="eastAsia" w:ascii="Times New Roman" w:hAnsi="Times New Roman" w:eastAsia="方正楷体_GBK"/>
          <w:szCs w:val="32"/>
        </w:rPr>
        <w:t>“</w:t>
      </w:r>
      <w:r>
        <w:rPr>
          <w:rFonts w:ascii="Times New Roman" w:hAnsi="Times New Roman" w:eastAsia="方正楷体_GBK"/>
          <w:szCs w:val="32"/>
        </w:rPr>
        <w:t>丰</w:t>
      </w:r>
      <w:r>
        <w:rPr>
          <w:rFonts w:hint="eastAsia" w:ascii="Times New Roman" w:hAnsi="Times New Roman" w:eastAsia="方正楷体_GBK"/>
          <w:szCs w:val="32"/>
        </w:rPr>
        <w:t>”</w:t>
      </w:r>
      <w:r>
        <w:rPr>
          <w:rFonts w:ascii="Times New Roman" w:hAnsi="Times New Roman" w:eastAsia="方正楷体_GBK"/>
          <w:szCs w:val="32"/>
        </w:rPr>
        <w:t>字型铁路网</w:t>
      </w:r>
      <w:r>
        <w:rPr>
          <w:rFonts w:ascii="Times New Roman" w:hAnsi="Times New Roman"/>
          <w:szCs w:val="32"/>
        </w:rPr>
        <w:t>。将渝宜高铁、渝万高铁、广忠黔铁路、沿江货运铁路4条铁路纳入全市</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交通规划和成渝地区双城经济圈规划。</w:t>
      </w:r>
    </w:p>
    <w:p w14:paraId="1BEA736A">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期间，力争建成渝万高铁，实现</w:t>
      </w:r>
      <w:r>
        <w:rPr>
          <w:rFonts w:hint="eastAsia" w:ascii="Times New Roman" w:hAnsi="Times New Roman"/>
          <w:szCs w:val="32"/>
        </w:rPr>
        <w:t>“</w:t>
      </w:r>
      <w:r>
        <w:rPr>
          <w:rFonts w:ascii="Times New Roman" w:hAnsi="Times New Roman"/>
          <w:szCs w:val="32"/>
        </w:rPr>
        <w:t>半小时</w:t>
      </w:r>
      <w:r>
        <w:rPr>
          <w:rFonts w:hint="eastAsia" w:ascii="Times New Roman" w:hAnsi="Times New Roman"/>
          <w:szCs w:val="32"/>
        </w:rPr>
        <w:t>”</w:t>
      </w:r>
      <w:r>
        <w:rPr>
          <w:rFonts w:ascii="Times New Roman" w:hAnsi="Times New Roman"/>
          <w:szCs w:val="32"/>
        </w:rPr>
        <w:t>至重庆中心城区（重庆东站），快速融入全市</w:t>
      </w:r>
      <w:r>
        <w:rPr>
          <w:rFonts w:hint="eastAsia" w:ascii="Times New Roman" w:hAnsi="Times New Roman"/>
          <w:szCs w:val="32"/>
        </w:rPr>
        <w:t>“</w:t>
      </w:r>
      <w:r>
        <w:rPr>
          <w:rFonts w:ascii="Times New Roman" w:hAnsi="Times New Roman"/>
          <w:szCs w:val="32"/>
        </w:rPr>
        <w:t>米</w:t>
      </w:r>
      <w:r>
        <w:rPr>
          <w:rFonts w:hint="eastAsia" w:ascii="Times New Roman" w:hAnsi="Times New Roman"/>
          <w:szCs w:val="32"/>
        </w:rPr>
        <w:t>”</w:t>
      </w:r>
      <w:r>
        <w:rPr>
          <w:rFonts w:ascii="Times New Roman" w:hAnsi="Times New Roman"/>
          <w:szCs w:val="32"/>
        </w:rPr>
        <w:t>字型高铁主通道，未来接入渝西高铁走廊，串联长江中游、中原城市群，形成与京津冀世界级城市群的高铁直联通道；开工建设渝宜高铁，连接主城都市区（重庆北站），构建最顺直沿江高铁主通道，形成重庆</w:t>
      </w:r>
      <w:r>
        <w:rPr>
          <w:rFonts w:hint="eastAsia" w:ascii="Times New Roman" w:hAnsi="Times New Roman"/>
          <w:szCs w:val="32"/>
        </w:rPr>
        <w:t>-</w:t>
      </w:r>
      <w:r>
        <w:rPr>
          <w:rFonts w:ascii="Times New Roman" w:hAnsi="Times New Roman"/>
          <w:szCs w:val="32"/>
        </w:rPr>
        <w:t>武汉</w:t>
      </w:r>
      <w:r>
        <w:rPr>
          <w:rFonts w:hint="eastAsia" w:ascii="Times New Roman" w:hAnsi="Times New Roman"/>
          <w:szCs w:val="32"/>
        </w:rPr>
        <w:t>-</w:t>
      </w:r>
      <w:r>
        <w:rPr>
          <w:rFonts w:ascii="Times New Roman" w:hAnsi="Times New Roman"/>
          <w:szCs w:val="32"/>
        </w:rPr>
        <w:t>上海高铁双通道；推进广忠黔铁路前期工作，争取在丰都高家镇设站场，形成丰都连接</w:t>
      </w:r>
      <w:r>
        <w:rPr>
          <w:rFonts w:hint="eastAsia" w:ascii="Times New Roman" w:hAnsi="Times New Roman"/>
          <w:szCs w:val="32"/>
        </w:rPr>
        <w:t>“</w:t>
      </w:r>
      <w:r>
        <w:rPr>
          <w:rFonts w:ascii="Times New Roman" w:hAnsi="Times New Roman"/>
          <w:szCs w:val="32"/>
        </w:rPr>
        <w:t>两群</w:t>
      </w:r>
      <w:r>
        <w:rPr>
          <w:rFonts w:hint="eastAsia" w:ascii="Times New Roman" w:hAnsi="Times New Roman"/>
          <w:szCs w:val="32"/>
        </w:rPr>
        <w:t>”</w:t>
      </w:r>
      <w:r>
        <w:rPr>
          <w:rFonts w:ascii="Times New Roman" w:hAnsi="Times New Roman"/>
          <w:szCs w:val="32"/>
        </w:rPr>
        <w:t>，贯通川东、黔北、湘西的纵向走廊，进一步拓展长江沿线港口辐射腹地；推进沿江货运铁路前期工作，串联沿江港口、工业园区，全面融入长江经济带综合立体走廊。到</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末，实现350公里时速高铁</w:t>
      </w:r>
      <w:r>
        <w:rPr>
          <w:rFonts w:hint="eastAsia" w:ascii="Times New Roman" w:hAnsi="Times New Roman"/>
          <w:szCs w:val="32"/>
        </w:rPr>
        <w:t>“</w:t>
      </w:r>
      <w:r>
        <w:rPr>
          <w:rFonts w:hint="eastAsia" w:ascii="Times New Roman" w:hAnsi="Times New Roman"/>
          <w:szCs w:val="32"/>
          <w:lang w:eastAsia="zh-CN"/>
        </w:rPr>
        <w:t>零的突破</w:t>
      </w:r>
      <w:r>
        <w:rPr>
          <w:rFonts w:hint="eastAsia" w:ascii="Times New Roman" w:hAnsi="Times New Roman"/>
          <w:szCs w:val="32"/>
        </w:rPr>
        <w:t>”</w:t>
      </w:r>
      <w:r>
        <w:rPr>
          <w:rFonts w:ascii="Times New Roman" w:hAnsi="Times New Roman"/>
          <w:szCs w:val="32"/>
        </w:rPr>
        <w:t>，铁路通车里程达到98公里，铁路在建里程达到50公里。</w:t>
      </w:r>
    </w:p>
    <w:p w14:paraId="244DC863">
      <w:pPr>
        <w:spacing w:line="600" w:lineRule="exact"/>
        <w:ind w:firstLine="640" w:firstLineChars="200"/>
        <w:rPr>
          <w:rFonts w:ascii="Times New Roman" w:hAnsi="Times New Roman"/>
          <w:szCs w:val="32"/>
        </w:rPr>
      </w:pPr>
      <w:r>
        <w:rPr>
          <w:rFonts w:hint="eastAsia" w:ascii="Times New Roman" w:hAnsi="Times New Roman" w:eastAsia="方正楷体_GBK"/>
          <w:szCs w:val="32"/>
        </w:rPr>
        <w:t>（二）</w:t>
      </w:r>
      <w:r>
        <w:rPr>
          <w:rFonts w:ascii="Times New Roman" w:hAnsi="Times New Roman" w:eastAsia="方正楷体_GBK"/>
          <w:szCs w:val="32"/>
        </w:rPr>
        <w:t>构建</w:t>
      </w:r>
      <w:r>
        <w:rPr>
          <w:rFonts w:hint="eastAsia" w:ascii="Times New Roman" w:hAnsi="Times New Roman" w:eastAsia="方正楷体_GBK"/>
          <w:szCs w:val="32"/>
        </w:rPr>
        <w:t>“</w:t>
      </w:r>
      <w:r>
        <w:rPr>
          <w:rFonts w:ascii="Times New Roman" w:hAnsi="Times New Roman" w:eastAsia="方正楷体_GBK"/>
          <w:szCs w:val="32"/>
        </w:rPr>
        <w:t>井</w:t>
      </w:r>
      <w:r>
        <w:rPr>
          <w:rFonts w:hint="eastAsia" w:ascii="Times New Roman" w:hAnsi="Times New Roman" w:eastAsia="方正楷体_GBK"/>
          <w:szCs w:val="32"/>
        </w:rPr>
        <w:t>”</w:t>
      </w:r>
      <w:r>
        <w:rPr>
          <w:rFonts w:ascii="Times New Roman" w:hAnsi="Times New Roman" w:eastAsia="方正楷体_GBK"/>
          <w:szCs w:val="32"/>
        </w:rPr>
        <w:t>字型高速公路网</w:t>
      </w:r>
      <w:r>
        <w:rPr>
          <w:rFonts w:ascii="Times New Roman" w:hAnsi="Times New Roman"/>
          <w:szCs w:val="32"/>
        </w:rPr>
        <w:t>。将垫丰武高速、北岸沿江高速（重庆至万州）、涪陵白涛至丰都高速（丰都段）等纳入全市</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交通规划和成渝地区双城经济圈规划，与已建成的丰忠高速、涪丰石高速搭建</w:t>
      </w:r>
      <w:r>
        <w:rPr>
          <w:rFonts w:hint="eastAsia" w:ascii="Times New Roman" w:hAnsi="Times New Roman"/>
          <w:szCs w:val="32"/>
        </w:rPr>
        <w:t>“</w:t>
      </w:r>
      <w:r>
        <w:rPr>
          <w:rFonts w:ascii="Times New Roman" w:hAnsi="Times New Roman"/>
          <w:szCs w:val="32"/>
        </w:rPr>
        <w:t>井</w:t>
      </w:r>
      <w:r>
        <w:rPr>
          <w:rFonts w:hint="eastAsia" w:ascii="Times New Roman" w:hAnsi="Times New Roman"/>
          <w:szCs w:val="32"/>
        </w:rPr>
        <w:t>”</w:t>
      </w:r>
      <w:r>
        <w:rPr>
          <w:rFonts w:ascii="Times New Roman" w:hAnsi="Times New Roman"/>
          <w:szCs w:val="32"/>
        </w:rPr>
        <w:t>字型框架。</w:t>
      </w:r>
    </w:p>
    <w:p w14:paraId="782E722D">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期间，力争建成大竹至垫江至丰都至武隆丰都段（垫丰武高速丰都段），形成丰都连接</w:t>
      </w:r>
      <w:r>
        <w:rPr>
          <w:rFonts w:hint="eastAsia" w:ascii="Times New Roman" w:hAnsi="Times New Roman"/>
          <w:szCs w:val="32"/>
        </w:rPr>
        <w:t>“</w:t>
      </w:r>
      <w:r>
        <w:rPr>
          <w:rFonts w:ascii="Times New Roman" w:hAnsi="Times New Roman"/>
          <w:szCs w:val="32"/>
        </w:rPr>
        <w:t>两群</w:t>
      </w:r>
      <w:r>
        <w:rPr>
          <w:rFonts w:hint="eastAsia" w:ascii="Times New Roman" w:hAnsi="Times New Roman"/>
          <w:szCs w:val="32"/>
        </w:rPr>
        <w:t>”</w:t>
      </w:r>
      <w:r>
        <w:rPr>
          <w:rFonts w:ascii="Times New Roman" w:hAnsi="Times New Roman"/>
          <w:szCs w:val="32"/>
        </w:rPr>
        <w:t>，贯通川东、黔北的纵向走廊，支撑成渝地区双城经济圈建设。配合研究论证涪陵白涛至丰都高速项目，积极开展沿江高速北线涪陵至忠县（丰都段）前期工作，做好项目储备。研究论证丰彭高速、丰石旅游高速项目，力争丰都游轮辅港至南天湖（仙女山机场）高速项目开工建设。到</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末，高速公路在建里程达到126公里。</w:t>
      </w:r>
    </w:p>
    <w:p w14:paraId="2ACCB496">
      <w:pPr>
        <w:spacing w:line="600" w:lineRule="exact"/>
        <w:ind w:firstLine="640" w:firstLineChars="200"/>
        <w:rPr>
          <w:rFonts w:ascii="Times New Roman" w:hAnsi="Times New Roman"/>
          <w:szCs w:val="32"/>
        </w:rPr>
      </w:pPr>
      <w:r>
        <w:rPr>
          <w:rFonts w:hint="eastAsia" w:ascii="Times New Roman" w:hAnsi="Times New Roman" w:eastAsia="方正楷体_GBK"/>
          <w:szCs w:val="32"/>
        </w:rPr>
        <w:t>（三）</w:t>
      </w:r>
      <w:r>
        <w:rPr>
          <w:rFonts w:ascii="Times New Roman" w:hAnsi="Times New Roman" w:eastAsia="方正楷体_GBK"/>
          <w:szCs w:val="32"/>
        </w:rPr>
        <w:t>建设</w:t>
      </w:r>
      <w:r>
        <w:rPr>
          <w:rFonts w:hint="eastAsia" w:ascii="Times New Roman" w:hAnsi="Times New Roman" w:eastAsia="方正楷体_GBK"/>
          <w:szCs w:val="32"/>
        </w:rPr>
        <w:t>“</w:t>
      </w:r>
      <w:r>
        <w:rPr>
          <w:rFonts w:ascii="Times New Roman" w:hAnsi="Times New Roman" w:eastAsia="方正楷体_GBK"/>
          <w:szCs w:val="32"/>
        </w:rPr>
        <w:t>1+N</w:t>
      </w:r>
      <w:r>
        <w:rPr>
          <w:rFonts w:hint="eastAsia" w:ascii="Times New Roman" w:hAnsi="Times New Roman" w:eastAsia="方正楷体_GBK"/>
          <w:szCs w:val="32"/>
        </w:rPr>
        <w:t>”</w:t>
      </w:r>
      <w:r>
        <w:rPr>
          <w:rFonts w:ascii="Times New Roman" w:hAnsi="Times New Roman" w:eastAsia="方正楷体_GBK"/>
          <w:szCs w:val="32"/>
        </w:rPr>
        <w:t>通用机场</w:t>
      </w:r>
      <w:r>
        <w:rPr>
          <w:rFonts w:ascii="Times New Roman" w:hAnsi="Times New Roman"/>
          <w:szCs w:val="32"/>
        </w:rPr>
        <w:t>。依托丰都县虎威仁和通用机场，以及配套的南天湖、雪玉山、莲花山、蒋家山4个停机坪，构建</w:t>
      </w:r>
      <w:r>
        <w:rPr>
          <w:rFonts w:hint="eastAsia" w:ascii="Times New Roman" w:hAnsi="Times New Roman"/>
          <w:szCs w:val="32"/>
        </w:rPr>
        <w:t>“</w:t>
      </w:r>
      <w:r>
        <w:rPr>
          <w:rFonts w:ascii="Times New Roman" w:hAnsi="Times New Roman"/>
          <w:szCs w:val="32"/>
        </w:rPr>
        <w:t>1+N</w:t>
      </w:r>
      <w:r>
        <w:rPr>
          <w:rFonts w:hint="eastAsia" w:ascii="Times New Roman" w:hAnsi="Times New Roman"/>
          <w:szCs w:val="32"/>
        </w:rPr>
        <w:t>”</w:t>
      </w:r>
      <w:r>
        <w:rPr>
          <w:rFonts w:ascii="Times New Roman" w:hAnsi="Times New Roman"/>
          <w:szCs w:val="32"/>
        </w:rPr>
        <w:t>高效、绿色、安全的航空服务体系。</w:t>
      </w:r>
    </w:p>
    <w:p w14:paraId="43208FB2">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期间，积极开展丰都县虎威仁和通用机场前期工作，力争开工建设。规划通用航空应急救援基地，与全市通用机场形成联动，成为重要节点。同时，完善丰都通用机场布局，形成</w:t>
      </w:r>
      <w:r>
        <w:rPr>
          <w:rFonts w:hint="eastAsia" w:ascii="Times New Roman" w:hAnsi="Times New Roman"/>
          <w:szCs w:val="32"/>
        </w:rPr>
        <w:t>“</w:t>
      </w:r>
      <w:r>
        <w:rPr>
          <w:rFonts w:ascii="Times New Roman" w:hAnsi="Times New Roman"/>
          <w:szCs w:val="32"/>
        </w:rPr>
        <w:t>1+N</w:t>
      </w:r>
      <w:r>
        <w:rPr>
          <w:rFonts w:hint="eastAsia" w:ascii="Times New Roman" w:hAnsi="Times New Roman"/>
          <w:szCs w:val="32"/>
        </w:rPr>
        <w:t>”</w:t>
      </w:r>
      <w:r>
        <w:rPr>
          <w:rFonts w:ascii="Times New Roman" w:hAnsi="Times New Roman"/>
          <w:szCs w:val="32"/>
        </w:rPr>
        <w:t>规划布局，以满足航空旅游、产业需求和应急救援为重点，开展应急救援、飞行员培训、空中巡查、防林护林等作业飞行，积极拓展商务包机、空中摄影、景点观光、空中表演等民生功能，并利用4个停机坪进一步支撑丰都旅游发展，支撑全县旅游资源开发，助力丰都建设国际旅游文化名城。</w:t>
      </w:r>
    </w:p>
    <w:p w14:paraId="5F46F488">
      <w:pPr>
        <w:pStyle w:val="2"/>
      </w:pPr>
    </w:p>
    <w:p w14:paraId="478CE4D2">
      <w:pPr>
        <w:pStyle w:val="6"/>
        <w:spacing w:before="0"/>
        <w:ind w:left="0"/>
        <w:jc w:val="center"/>
        <w:rPr>
          <w:rFonts w:ascii="Times New Roman" w:hAnsi="Times New Roman" w:eastAsia="方正仿宋_GBK"/>
          <w:sz w:val="32"/>
          <w:szCs w:val="32"/>
        </w:rPr>
      </w:pPr>
      <w:r>
        <w:rPr>
          <w:rFonts w:ascii="Times New Roman" w:hAnsi="Times New Roman" w:eastAsia="方正仿宋_GBK"/>
          <w:sz w:val="32"/>
          <w:szCs w:val="32"/>
        </w:rPr>
        <w:drawing>
          <wp:inline distT="0" distB="0" distL="114300" distR="114300">
            <wp:extent cx="5546725" cy="4079240"/>
            <wp:effectExtent l="0" t="0" r="15875" b="16510"/>
            <wp:docPr id="1" name="图片 1" descr="铁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铁路"/>
                    <pic:cNvPicPr>
                      <a:picLocks noChangeAspect="1"/>
                    </pic:cNvPicPr>
                  </pic:nvPicPr>
                  <pic:blipFill>
                    <a:blip r:embed="rId21"/>
                    <a:stretch>
                      <a:fillRect/>
                    </a:stretch>
                  </pic:blipFill>
                  <pic:spPr>
                    <a:xfrm>
                      <a:off x="0" y="0"/>
                      <a:ext cx="5546725" cy="4079240"/>
                    </a:xfrm>
                    <a:prstGeom prst="rect">
                      <a:avLst/>
                    </a:prstGeom>
                    <a:noFill/>
                    <a:ln>
                      <a:noFill/>
                    </a:ln>
                  </pic:spPr>
                </pic:pic>
              </a:graphicData>
            </a:graphic>
          </wp:inline>
        </w:drawing>
      </w:r>
    </w:p>
    <w:p w14:paraId="595C2F1F">
      <w:pPr>
        <w:pStyle w:val="6"/>
        <w:spacing w:before="0"/>
        <w:ind w:left="0"/>
        <w:jc w:val="center"/>
        <w:rPr>
          <w:rFonts w:ascii="Times New Roman" w:hAnsi="Times New Roman" w:eastAsia="方正仿宋_GBK"/>
          <w:sz w:val="32"/>
          <w:szCs w:val="32"/>
        </w:rPr>
      </w:pPr>
      <w:r>
        <w:rPr>
          <w:rFonts w:ascii="Times New Roman" w:hAnsi="Times New Roman" w:eastAsia="方正仿宋_GBK"/>
          <w:sz w:val="32"/>
          <w:szCs w:val="32"/>
        </w:rPr>
        <w:t>图 4</w:t>
      </w:r>
      <w:r>
        <w:rPr>
          <w:rFonts w:hint="eastAsia" w:ascii="Times New Roman" w:hAnsi="Times New Roman" w:eastAsia="方正仿宋_GBK"/>
          <w:sz w:val="32"/>
          <w:szCs w:val="32"/>
        </w:rPr>
        <w:t>-</w:t>
      </w:r>
      <w:r>
        <w:rPr>
          <w:rFonts w:ascii="Times New Roman" w:hAnsi="Times New Roman" w:eastAsia="方正仿宋_GBK"/>
          <w:sz w:val="32"/>
          <w:szCs w:val="32"/>
        </w:rPr>
        <w:t>1 铁路规划布局图</w:t>
      </w:r>
    </w:p>
    <w:p w14:paraId="7E4E3B6B">
      <w:pPr>
        <w:pStyle w:val="6"/>
        <w:spacing w:before="0"/>
        <w:ind w:left="0"/>
        <w:jc w:val="center"/>
        <w:rPr>
          <w:rFonts w:ascii="Times New Roman" w:hAnsi="Times New Roman" w:eastAsia="方正仿宋_GBK"/>
          <w:sz w:val="32"/>
          <w:szCs w:val="32"/>
        </w:rPr>
      </w:pPr>
      <w:r>
        <w:rPr>
          <w:rFonts w:ascii="Times New Roman" w:hAnsi="Times New Roman" w:eastAsia="方正仿宋_GBK"/>
          <w:sz w:val="32"/>
          <w:szCs w:val="32"/>
        </w:rPr>
        <w:drawing>
          <wp:inline distT="0" distB="0" distL="114300" distR="114300">
            <wp:extent cx="5516245" cy="3822065"/>
            <wp:effectExtent l="0" t="0" r="8255" b="6985"/>
            <wp:docPr id="3" name="图片 2" descr="高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高速"/>
                    <pic:cNvPicPr>
                      <a:picLocks noChangeAspect="1"/>
                    </pic:cNvPicPr>
                  </pic:nvPicPr>
                  <pic:blipFill>
                    <a:blip r:embed="rId22"/>
                    <a:stretch>
                      <a:fillRect/>
                    </a:stretch>
                  </pic:blipFill>
                  <pic:spPr>
                    <a:xfrm>
                      <a:off x="0" y="0"/>
                      <a:ext cx="5516245" cy="3822065"/>
                    </a:xfrm>
                    <a:prstGeom prst="rect">
                      <a:avLst/>
                    </a:prstGeom>
                    <a:noFill/>
                    <a:ln>
                      <a:noFill/>
                    </a:ln>
                  </pic:spPr>
                </pic:pic>
              </a:graphicData>
            </a:graphic>
          </wp:inline>
        </w:drawing>
      </w:r>
    </w:p>
    <w:p w14:paraId="0DFC632E">
      <w:pPr>
        <w:pStyle w:val="6"/>
        <w:spacing w:before="0"/>
        <w:ind w:left="0"/>
        <w:jc w:val="center"/>
        <w:rPr>
          <w:rFonts w:ascii="Times New Roman" w:hAnsi="Times New Roman" w:eastAsia="方正仿宋_GBK"/>
          <w:sz w:val="32"/>
          <w:szCs w:val="32"/>
        </w:rPr>
      </w:pPr>
      <w:r>
        <w:rPr>
          <w:rFonts w:ascii="Times New Roman" w:hAnsi="Times New Roman" w:eastAsia="方正仿宋_GBK"/>
          <w:sz w:val="32"/>
          <w:szCs w:val="32"/>
        </w:rPr>
        <w:t>图4</w:t>
      </w:r>
      <w:r>
        <w:rPr>
          <w:rFonts w:hint="eastAsia" w:ascii="Times New Roman" w:hAnsi="Times New Roman" w:eastAsia="方正仿宋_GBK"/>
          <w:sz w:val="32"/>
          <w:szCs w:val="32"/>
        </w:rPr>
        <w:t>-</w:t>
      </w:r>
      <w:r>
        <w:rPr>
          <w:rFonts w:ascii="Times New Roman" w:hAnsi="Times New Roman" w:eastAsia="方正仿宋_GBK"/>
          <w:sz w:val="32"/>
          <w:szCs w:val="32"/>
        </w:rPr>
        <w:t>2 高速规划布局图</w:t>
      </w:r>
    </w:p>
    <w:p w14:paraId="0E779D67">
      <w:pPr>
        <w:pStyle w:val="6"/>
        <w:spacing w:before="0" w:line="600" w:lineRule="exact"/>
        <w:ind w:left="0" w:firstLine="482"/>
        <w:jc w:val="center"/>
        <w:rPr>
          <w:rFonts w:ascii="Times New Roman" w:hAnsi="Times New Roman" w:eastAsia="方正仿宋_GBK"/>
          <w:sz w:val="32"/>
          <w:szCs w:val="32"/>
        </w:rPr>
      </w:pPr>
    </w:p>
    <w:tbl>
      <w:tblPr>
        <w:tblStyle w:val="13"/>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25F6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516" w:type="dxa"/>
          </w:tcPr>
          <w:p w14:paraId="4F75D497">
            <w:pPr>
              <w:spacing w:line="400" w:lineRule="exact"/>
              <w:ind w:firstLine="560"/>
              <w:jc w:val="center"/>
              <w:rPr>
                <w:rFonts w:ascii="Times New Roman" w:hAnsi="Times New Roman"/>
                <w:sz w:val="28"/>
                <w:szCs w:val="28"/>
              </w:rPr>
            </w:pPr>
            <w:r>
              <w:rPr>
                <w:rFonts w:ascii="Times New Roman" w:hAnsi="Times New Roman"/>
                <w:sz w:val="28"/>
                <w:szCs w:val="28"/>
              </w:rPr>
              <w:t xml:space="preserve">专栏1 </w:t>
            </w:r>
            <w:r>
              <w:rPr>
                <w:rFonts w:hint="eastAsia" w:ascii="Times New Roman" w:hAnsi="Times New Roman"/>
                <w:sz w:val="28"/>
                <w:szCs w:val="28"/>
              </w:rPr>
              <w:t>“</w:t>
            </w:r>
            <w:r>
              <w:rPr>
                <w:rFonts w:ascii="Times New Roman" w:hAnsi="Times New Roman"/>
                <w:sz w:val="28"/>
                <w:szCs w:val="28"/>
              </w:rPr>
              <w:t>十四五</w:t>
            </w:r>
            <w:r>
              <w:rPr>
                <w:rFonts w:hint="eastAsia" w:ascii="Times New Roman" w:hAnsi="Times New Roman"/>
                <w:sz w:val="28"/>
                <w:szCs w:val="28"/>
              </w:rPr>
              <w:t>”</w:t>
            </w:r>
            <w:r>
              <w:rPr>
                <w:rFonts w:ascii="Times New Roman" w:hAnsi="Times New Roman"/>
                <w:sz w:val="28"/>
                <w:szCs w:val="28"/>
              </w:rPr>
              <w:t>快速网重点项目</w:t>
            </w:r>
          </w:p>
        </w:tc>
      </w:tr>
      <w:tr w14:paraId="115C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8516" w:type="dxa"/>
          </w:tcPr>
          <w:p w14:paraId="191D5987">
            <w:pPr>
              <w:spacing w:line="400" w:lineRule="exact"/>
              <w:ind w:firstLine="562"/>
              <w:rPr>
                <w:rFonts w:ascii="Times New Roman" w:hAnsi="Times New Roman"/>
                <w:sz w:val="28"/>
                <w:szCs w:val="28"/>
              </w:rPr>
            </w:pPr>
            <w:r>
              <w:rPr>
                <w:rFonts w:ascii="Times New Roman" w:hAnsi="Times New Roman"/>
                <w:sz w:val="28"/>
                <w:szCs w:val="28"/>
              </w:rPr>
              <w:t>高速铁路：建成渝万高铁，开工渝宜高铁。</w:t>
            </w:r>
          </w:p>
          <w:p w14:paraId="7C46AEF9">
            <w:pPr>
              <w:spacing w:line="400" w:lineRule="exact"/>
              <w:ind w:firstLine="562"/>
              <w:rPr>
                <w:rFonts w:ascii="Times New Roman" w:hAnsi="Times New Roman"/>
                <w:sz w:val="28"/>
                <w:szCs w:val="28"/>
              </w:rPr>
            </w:pPr>
            <w:r>
              <w:rPr>
                <w:rFonts w:ascii="Times New Roman" w:hAnsi="Times New Roman"/>
                <w:sz w:val="28"/>
                <w:szCs w:val="28"/>
              </w:rPr>
              <w:t>普速铁路：推进广忠黔铁路、沿江货运铁路前期工作做好项目储备。</w:t>
            </w:r>
          </w:p>
          <w:p w14:paraId="6B02CF2F">
            <w:pPr>
              <w:spacing w:line="400" w:lineRule="exact"/>
              <w:ind w:firstLine="562"/>
              <w:rPr>
                <w:rFonts w:ascii="Times New Roman" w:hAnsi="Times New Roman"/>
                <w:sz w:val="28"/>
                <w:szCs w:val="28"/>
              </w:rPr>
            </w:pPr>
            <w:r>
              <w:rPr>
                <w:rFonts w:ascii="Times New Roman" w:hAnsi="Times New Roman"/>
                <w:sz w:val="28"/>
                <w:szCs w:val="28"/>
              </w:rPr>
              <w:t>高速公路：力争建成大竹至垫江至丰都至武隆丰都段（垫丰武高速丰都段）；配合研究论证涪陵白涛至丰都高速项目，力争开工丰都游轮辅港至南天湖（仙女山机场）高速项目；开展沿江高速北线涪陵至忠县（丰都段）前期工作，研究论证丰彭高速、丰石旅游高速项目并做好项目储备。</w:t>
            </w:r>
          </w:p>
          <w:p w14:paraId="20084F4F">
            <w:pPr>
              <w:spacing w:line="400" w:lineRule="exact"/>
              <w:ind w:firstLine="562"/>
              <w:rPr>
                <w:rFonts w:ascii="Times New Roman" w:hAnsi="Times New Roman"/>
                <w:sz w:val="28"/>
                <w:szCs w:val="28"/>
              </w:rPr>
            </w:pPr>
            <w:r>
              <w:rPr>
                <w:rFonts w:ascii="Times New Roman" w:hAnsi="Times New Roman"/>
                <w:sz w:val="28"/>
                <w:szCs w:val="28"/>
              </w:rPr>
              <w:t>机场：力争开工建设丰都县虎威仁和通用机场。</w:t>
            </w:r>
          </w:p>
        </w:tc>
      </w:tr>
    </w:tbl>
    <w:p w14:paraId="5533FC4A">
      <w:pPr>
        <w:pStyle w:val="4"/>
        <w:keepNext w:val="0"/>
        <w:keepLines w:val="0"/>
        <w:widowControl w:val="0"/>
        <w:spacing w:beforeLines="0" w:afterLines="0"/>
        <w:ind w:firstLine="640"/>
        <w:rPr>
          <w:rFonts w:eastAsia="方正黑体_GBK"/>
          <w:b w:val="0"/>
          <w:bCs w:val="0"/>
          <w:kern w:val="28"/>
        </w:rPr>
      </w:pPr>
      <w:bookmarkStart w:id="94" w:name="_Toc15573"/>
      <w:r>
        <w:rPr>
          <w:rFonts w:eastAsia="方正黑体_GBK"/>
          <w:b w:val="0"/>
          <w:bCs w:val="0"/>
          <w:kern w:val="28"/>
        </w:rPr>
        <w:t>二、畅通内循环，扩能干线网</w:t>
      </w:r>
      <w:bookmarkEnd w:id="94"/>
    </w:p>
    <w:p w14:paraId="2965251C">
      <w:pPr>
        <w:spacing w:line="600" w:lineRule="exact"/>
        <w:ind w:firstLine="640"/>
        <w:rPr>
          <w:rFonts w:ascii="Times New Roman" w:hAnsi="Times New Roman"/>
          <w:szCs w:val="32"/>
        </w:rPr>
      </w:pPr>
      <w:r>
        <w:rPr>
          <w:rFonts w:ascii="Times New Roman" w:hAnsi="Times New Roman"/>
          <w:szCs w:val="32"/>
        </w:rPr>
        <w:t>按照</w:t>
      </w:r>
      <w:r>
        <w:rPr>
          <w:rFonts w:hint="eastAsia" w:ascii="Times New Roman" w:hAnsi="Times New Roman"/>
          <w:szCs w:val="32"/>
        </w:rPr>
        <w:t>“</w:t>
      </w:r>
      <w:r>
        <w:rPr>
          <w:rFonts w:ascii="Times New Roman" w:hAnsi="Times New Roman"/>
          <w:szCs w:val="32"/>
        </w:rPr>
        <w:t>补短板、提质量、促融合</w:t>
      </w:r>
      <w:r>
        <w:rPr>
          <w:rFonts w:hint="eastAsia" w:ascii="Times New Roman" w:hAnsi="Times New Roman"/>
          <w:szCs w:val="32"/>
        </w:rPr>
        <w:t>”</w:t>
      </w:r>
      <w:r>
        <w:rPr>
          <w:rFonts w:ascii="Times New Roman" w:hAnsi="Times New Roman"/>
          <w:szCs w:val="32"/>
        </w:rPr>
        <w:t>总体思路，紧紧围绕</w:t>
      </w:r>
      <w:r>
        <w:rPr>
          <w:rFonts w:hint="eastAsia" w:ascii="Times New Roman" w:hAnsi="Times New Roman"/>
          <w:szCs w:val="32"/>
        </w:rPr>
        <w:t>“</w:t>
      </w:r>
      <w:r>
        <w:rPr>
          <w:rFonts w:ascii="Times New Roman" w:hAnsi="Times New Roman"/>
          <w:szCs w:val="32"/>
          <w:lang w:bidi="he-IL"/>
        </w:rPr>
        <w:t>沿长江产城景融合发展区、南部高山旅游度假区、北部现代农业示范区</w:t>
      </w:r>
      <w:r>
        <w:rPr>
          <w:rFonts w:hint="eastAsia" w:ascii="Times New Roman" w:hAnsi="Times New Roman"/>
          <w:szCs w:val="32"/>
        </w:rPr>
        <w:t>”</w:t>
      </w:r>
      <w:r>
        <w:rPr>
          <w:rFonts w:ascii="Times New Roman" w:hAnsi="Times New Roman"/>
          <w:szCs w:val="32"/>
        </w:rPr>
        <w:t>布局，着力畅通</w:t>
      </w:r>
      <w:r>
        <w:rPr>
          <w:rFonts w:hint="eastAsia" w:ascii="Times New Roman" w:hAnsi="Times New Roman"/>
          <w:szCs w:val="32"/>
        </w:rPr>
        <w:t>“</w:t>
      </w:r>
      <w:r>
        <w:rPr>
          <w:rFonts w:ascii="Times New Roman" w:hAnsi="Times New Roman"/>
          <w:szCs w:val="32"/>
        </w:rPr>
        <w:t>内循环</w:t>
      </w:r>
      <w:r>
        <w:rPr>
          <w:rFonts w:hint="eastAsia" w:ascii="Times New Roman" w:hAnsi="Times New Roman"/>
          <w:szCs w:val="32"/>
        </w:rPr>
        <w:t>”</w:t>
      </w:r>
      <w:r>
        <w:rPr>
          <w:rFonts w:ascii="Times New Roman" w:hAnsi="Times New Roman"/>
          <w:szCs w:val="32"/>
        </w:rPr>
        <w:t>，依托高速公路、普通国省干线改造、高速公路连接线、绕城快速路及长江一桥、长江三桥等一批重大项目，强化与周边区县连接通道，支撑域内产业经济发展，切实落实市委陈敏尔书记提出的交通强市建设</w:t>
      </w:r>
      <w:r>
        <w:rPr>
          <w:rFonts w:hint="eastAsia" w:ascii="Times New Roman" w:hAnsi="Times New Roman"/>
          <w:szCs w:val="32"/>
        </w:rPr>
        <w:t>“</w:t>
      </w:r>
      <w:r>
        <w:rPr>
          <w:rFonts w:ascii="Times New Roman" w:hAnsi="Times New Roman"/>
          <w:szCs w:val="32"/>
        </w:rPr>
        <w:t>强网络，提升协调联动发展水平</w:t>
      </w:r>
      <w:r>
        <w:rPr>
          <w:rFonts w:hint="eastAsia" w:ascii="Times New Roman" w:hAnsi="Times New Roman"/>
          <w:szCs w:val="32"/>
        </w:rPr>
        <w:t>”</w:t>
      </w:r>
      <w:r>
        <w:rPr>
          <w:rFonts w:ascii="Times New Roman" w:hAnsi="Times New Roman"/>
          <w:szCs w:val="32"/>
        </w:rPr>
        <w:t>要求。构建</w:t>
      </w:r>
      <w:r>
        <w:rPr>
          <w:rFonts w:hint="eastAsia" w:ascii="Times New Roman" w:hAnsi="Times New Roman"/>
          <w:szCs w:val="32"/>
        </w:rPr>
        <w:t>“</w:t>
      </w:r>
      <w:r>
        <w:rPr>
          <w:rFonts w:ascii="Times New Roman" w:hAnsi="Times New Roman"/>
          <w:szCs w:val="32"/>
        </w:rPr>
        <w:t>一圈两环六射多联</w:t>
      </w:r>
      <w:r>
        <w:rPr>
          <w:rFonts w:hint="eastAsia" w:ascii="Times New Roman" w:hAnsi="Times New Roman"/>
          <w:szCs w:val="32"/>
        </w:rPr>
        <w:t>”</w:t>
      </w:r>
      <w:r>
        <w:rPr>
          <w:rFonts w:ascii="Times New Roman" w:hAnsi="Times New Roman"/>
          <w:szCs w:val="32"/>
        </w:rPr>
        <w:t>的干线网络，即建设一个绕城快速圈、畅通南北两大产业交通环线、完善六条高速公路射线、实施多条节点联线。</w:t>
      </w:r>
    </w:p>
    <w:p w14:paraId="29061CDA">
      <w:pPr>
        <w:spacing w:line="600" w:lineRule="exact"/>
        <w:ind w:firstLine="640" w:firstLineChars="200"/>
        <w:rPr>
          <w:rFonts w:ascii="Times New Roman" w:hAnsi="Times New Roman"/>
          <w:szCs w:val="32"/>
        </w:rPr>
      </w:pPr>
      <w:r>
        <w:rPr>
          <w:rFonts w:ascii="Times New Roman" w:hAnsi="Times New Roman" w:eastAsia="方正楷体_GBK"/>
          <w:szCs w:val="32"/>
        </w:rPr>
        <w:t>（一）建设一个绕城快速圈</w:t>
      </w:r>
      <w:r>
        <w:rPr>
          <w:rFonts w:ascii="Times New Roman" w:hAnsi="Times New Roman"/>
          <w:szCs w:val="32"/>
        </w:rPr>
        <w:t>。依托普通国省干线公路提档升级和高速公路网，结合未来高速公路过江桥梁，建设绕城快速环线。依次串联丰都长江大桥、渝利铁路丰都站、水天坪作业区、镇江作业区、渝万高铁丰都北站、丰都游轮辅港、虎威仁和通用机场的绕城快速环道，实现联通铁路、水运、航空、重要园区等重要节点间的快速联通，实现城市交通与区域路网的衔接转换，构建互联互通、快捷高效的现代综合交通运输体系。</w:t>
      </w:r>
    </w:p>
    <w:p w14:paraId="63F29C06">
      <w:pPr>
        <w:spacing w:line="600" w:lineRule="exact"/>
        <w:ind w:firstLine="640" w:firstLineChars="200"/>
        <w:rPr>
          <w:rFonts w:ascii="Times New Roman" w:hAnsi="Times New Roman"/>
          <w:szCs w:val="32"/>
        </w:rPr>
      </w:pPr>
      <w:r>
        <w:rPr>
          <w:rFonts w:ascii="Times New Roman" w:hAnsi="Times New Roman"/>
          <w:szCs w:val="32"/>
        </w:rPr>
        <w:t>1. 构建</w:t>
      </w:r>
      <w:r>
        <w:rPr>
          <w:rFonts w:hint="eastAsia" w:ascii="Times New Roman" w:hAnsi="Times New Roman"/>
          <w:szCs w:val="32"/>
        </w:rPr>
        <w:t>“</w:t>
      </w:r>
      <w:r>
        <w:rPr>
          <w:rFonts w:ascii="Times New Roman" w:hAnsi="Times New Roman"/>
          <w:szCs w:val="32"/>
        </w:rPr>
        <w:t>一圈多环</w:t>
      </w:r>
      <w:r>
        <w:rPr>
          <w:rFonts w:hint="eastAsia" w:ascii="Times New Roman" w:hAnsi="Times New Roman"/>
          <w:szCs w:val="32"/>
        </w:rPr>
        <w:t>”</w:t>
      </w:r>
      <w:r>
        <w:rPr>
          <w:rFonts w:ascii="Times New Roman" w:hAnsi="Times New Roman"/>
          <w:szCs w:val="32"/>
        </w:rPr>
        <w:t>互联互通城市交通网。</w:t>
      </w:r>
    </w:p>
    <w:p w14:paraId="2B80E9EF">
      <w:pPr>
        <w:spacing w:line="600" w:lineRule="exact"/>
        <w:ind w:firstLine="640" w:firstLineChars="200"/>
        <w:rPr>
          <w:rFonts w:ascii="Times New Roman" w:hAnsi="Times New Roman"/>
          <w:szCs w:val="32"/>
        </w:rPr>
      </w:pPr>
      <w:r>
        <w:rPr>
          <w:rFonts w:hint="eastAsia" w:ascii="Times New Roman" w:hAnsi="Times New Roman"/>
          <w:szCs w:val="32"/>
        </w:rPr>
        <w:t>“</w:t>
      </w:r>
      <w:r>
        <w:rPr>
          <w:rFonts w:ascii="Times New Roman" w:hAnsi="Times New Roman"/>
          <w:szCs w:val="32"/>
        </w:rPr>
        <w:t>一圈</w:t>
      </w:r>
      <w:r>
        <w:rPr>
          <w:rFonts w:hint="eastAsia" w:ascii="Times New Roman" w:hAnsi="Times New Roman"/>
          <w:szCs w:val="32"/>
        </w:rPr>
        <w:t>”</w:t>
      </w:r>
      <w:r>
        <w:rPr>
          <w:rFonts w:ascii="Times New Roman" w:hAnsi="Times New Roman"/>
          <w:szCs w:val="32"/>
        </w:rPr>
        <w:t>：丰都县长江大桥→丰都县火车站→横五路→龙河三桥→水天坪工业园区→兴义长江大桥→镇江工业园区→高铁北站→丰都县长江大桥，采用双向四车道标准建设。</w:t>
      </w:r>
    </w:p>
    <w:p w14:paraId="079EE869">
      <w:pPr>
        <w:spacing w:line="600" w:lineRule="exact"/>
        <w:ind w:firstLine="640" w:firstLineChars="200"/>
        <w:rPr>
          <w:rFonts w:ascii="Times New Roman" w:hAnsi="Times New Roman"/>
          <w:szCs w:val="32"/>
        </w:rPr>
      </w:pPr>
      <w:r>
        <w:rPr>
          <w:rFonts w:hint="eastAsia" w:ascii="Times New Roman" w:hAnsi="Times New Roman"/>
          <w:szCs w:val="32"/>
        </w:rPr>
        <w:t>“</w:t>
      </w:r>
      <w:r>
        <w:rPr>
          <w:rFonts w:ascii="Times New Roman" w:hAnsi="Times New Roman"/>
          <w:szCs w:val="32"/>
        </w:rPr>
        <w:t>多环</w:t>
      </w:r>
      <w:r>
        <w:rPr>
          <w:rFonts w:hint="eastAsia" w:ascii="Times New Roman" w:hAnsi="Times New Roman"/>
          <w:szCs w:val="32"/>
        </w:rPr>
        <w:t>”</w:t>
      </w:r>
      <w:r>
        <w:rPr>
          <w:rFonts w:ascii="Times New Roman" w:hAnsi="Times New Roman"/>
          <w:szCs w:val="32"/>
        </w:rPr>
        <w:t>：①丰都县长江大桥→丰都县火车站→丰都县长江二桥→高铁北站→丰都县长江大桥；</w:t>
      </w:r>
    </w:p>
    <w:p w14:paraId="0FC117D8">
      <w:pPr>
        <w:spacing w:line="600" w:lineRule="exact"/>
        <w:ind w:firstLine="640" w:firstLineChars="200"/>
        <w:rPr>
          <w:rFonts w:ascii="Times New Roman" w:hAnsi="Times New Roman"/>
          <w:szCs w:val="32"/>
        </w:rPr>
      </w:pPr>
      <w:r>
        <w:rPr>
          <w:rFonts w:ascii="Times New Roman" w:hAnsi="Times New Roman"/>
          <w:szCs w:val="32"/>
        </w:rPr>
        <w:t>②丰都县长江二桥→横五路→龙河三桥→工业园区→兴义长江大桥→镇江工业园区→高铁北站→名山隧道→丰都县长江二桥；</w:t>
      </w:r>
    </w:p>
    <w:p w14:paraId="53729469">
      <w:pPr>
        <w:spacing w:line="600" w:lineRule="exact"/>
        <w:ind w:firstLine="640" w:firstLineChars="200"/>
        <w:rPr>
          <w:rFonts w:ascii="Times New Roman" w:hAnsi="Times New Roman"/>
          <w:szCs w:val="32"/>
        </w:rPr>
      </w:pPr>
      <w:r>
        <w:rPr>
          <w:rFonts w:ascii="Times New Roman" w:hAnsi="Times New Roman"/>
          <w:szCs w:val="32"/>
        </w:rPr>
        <w:t>③丰都县长江大桥→丰都县火车站→横五路→龙河三桥→龙河一桥→滨江路→迎宾大道→丰都县长江大桥；</w:t>
      </w:r>
    </w:p>
    <w:p w14:paraId="1A7D8155">
      <w:pPr>
        <w:spacing w:line="600" w:lineRule="exact"/>
        <w:ind w:firstLine="640" w:firstLineChars="200"/>
        <w:rPr>
          <w:rFonts w:ascii="Times New Roman" w:hAnsi="Times New Roman"/>
          <w:szCs w:val="32"/>
        </w:rPr>
      </w:pPr>
      <w:r>
        <w:rPr>
          <w:rFonts w:ascii="Times New Roman" w:hAnsi="Times New Roman"/>
          <w:szCs w:val="32"/>
        </w:rPr>
        <w:t>④高铁北站→两汇口大桥→古佛岩→名山景区（游轮辅港）→景区隧道→高铁北站。</w:t>
      </w:r>
    </w:p>
    <w:p w14:paraId="00FB6452">
      <w:pPr>
        <w:spacing w:line="600" w:lineRule="exact"/>
        <w:ind w:firstLine="640" w:firstLineChars="200"/>
        <w:rPr>
          <w:rFonts w:ascii="Times New Roman" w:hAnsi="Times New Roman"/>
          <w:szCs w:val="32"/>
        </w:rPr>
      </w:pPr>
      <w:r>
        <w:rPr>
          <w:rFonts w:ascii="Times New Roman" w:hAnsi="Times New Roman"/>
          <w:szCs w:val="32"/>
        </w:rPr>
        <w:t>2. 城市交通铁公水互联互通。</w:t>
      </w:r>
    </w:p>
    <w:p w14:paraId="149E12DD">
      <w:pPr>
        <w:spacing w:line="600" w:lineRule="exact"/>
        <w:ind w:firstLine="640" w:firstLineChars="200"/>
        <w:rPr>
          <w:rFonts w:ascii="Times New Roman" w:hAnsi="Times New Roman"/>
          <w:szCs w:val="32"/>
        </w:rPr>
      </w:pPr>
      <w:r>
        <w:rPr>
          <w:rFonts w:ascii="Times New Roman" w:hAnsi="Times New Roman"/>
          <w:szCs w:val="32"/>
        </w:rPr>
        <w:t>积极论证城市轨道交通、着力打造水上观光游轮，科学推进高速进港区和铁路进码头，构建铁公水互联互通交通体系。</w:t>
      </w:r>
    </w:p>
    <w:p w14:paraId="436DE42D">
      <w:pPr>
        <w:spacing w:line="600" w:lineRule="exact"/>
        <w:ind w:firstLine="640" w:firstLineChars="20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重点实施新建垫丰武高速公路兴义长江大桥过江公路桥（长江三桥）1.5公里，及其北岸至国道G348连接线8公里和南岸至国道G351连接线3公里；新建G348古家店至长江大桥改线工程7公里；G351县城龙河东至高镇路面改造工程21.4公里等一批国省干线新建、升级改造、路面改造项目。</w:t>
      </w:r>
    </w:p>
    <w:p w14:paraId="048963D9">
      <w:pPr>
        <w:spacing w:line="600" w:lineRule="exact"/>
        <w:ind w:firstLine="640" w:firstLineChars="200"/>
        <w:rPr>
          <w:rFonts w:ascii="Times New Roman" w:hAnsi="Times New Roman"/>
          <w:szCs w:val="32"/>
        </w:rPr>
      </w:pPr>
      <w:r>
        <w:rPr>
          <w:rFonts w:ascii="Times New Roman" w:hAnsi="Times New Roman" w:eastAsia="方正楷体_GBK"/>
          <w:szCs w:val="32"/>
        </w:rPr>
        <w:t>（二）构建两个交通大循环</w:t>
      </w:r>
      <w:r>
        <w:rPr>
          <w:rFonts w:ascii="Times New Roman" w:hAnsi="Times New Roman"/>
          <w:szCs w:val="32"/>
        </w:rPr>
        <w:t>。围绕长江北岸重点产业乡镇，构建</w:t>
      </w:r>
      <w:r>
        <w:rPr>
          <w:rFonts w:hint="eastAsia" w:ascii="Times New Roman" w:hAnsi="Times New Roman"/>
          <w:szCs w:val="32"/>
        </w:rPr>
        <w:t>“</w:t>
      </w:r>
      <w:r>
        <w:rPr>
          <w:rFonts w:ascii="Times New Roman" w:hAnsi="Times New Roman"/>
          <w:szCs w:val="32"/>
        </w:rPr>
        <w:t>名山街道</w:t>
      </w:r>
      <w:r>
        <w:rPr>
          <w:rFonts w:hint="eastAsia" w:ascii="Times New Roman" w:hAnsi="Times New Roman"/>
          <w:szCs w:val="32"/>
        </w:rPr>
        <w:t>-</w:t>
      </w:r>
      <w:r>
        <w:rPr>
          <w:rFonts w:ascii="Times New Roman" w:hAnsi="Times New Roman"/>
          <w:szCs w:val="32"/>
        </w:rPr>
        <w:t>虎威</w:t>
      </w:r>
      <w:r>
        <w:rPr>
          <w:rFonts w:hint="eastAsia" w:ascii="Times New Roman" w:hAnsi="Times New Roman"/>
          <w:szCs w:val="32"/>
        </w:rPr>
        <w:t>-</w:t>
      </w:r>
      <w:r>
        <w:rPr>
          <w:rFonts w:ascii="Times New Roman" w:hAnsi="Times New Roman"/>
          <w:szCs w:val="32"/>
        </w:rPr>
        <w:t>社坛</w:t>
      </w:r>
      <w:r>
        <w:rPr>
          <w:rFonts w:hint="eastAsia" w:ascii="Times New Roman" w:hAnsi="Times New Roman"/>
          <w:szCs w:val="32"/>
        </w:rPr>
        <w:t>-</w:t>
      </w:r>
      <w:r>
        <w:rPr>
          <w:rFonts w:ascii="Times New Roman" w:hAnsi="Times New Roman"/>
          <w:szCs w:val="32"/>
        </w:rPr>
        <w:t>三元</w:t>
      </w:r>
      <w:r>
        <w:rPr>
          <w:rFonts w:hint="eastAsia" w:ascii="Times New Roman" w:hAnsi="Times New Roman"/>
          <w:szCs w:val="32"/>
        </w:rPr>
        <w:t>-</w:t>
      </w:r>
      <w:r>
        <w:rPr>
          <w:rFonts w:ascii="Times New Roman" w:hAnsi="Times New Roman"/>
          <w:szCs w:val="32"/>
        </w:rPr>
        <w:t>双龙</w:t>
      </w:r>
      <w:r>
        <w:rPr>
          <w:rFonts w:hint="eastAsia" w:ascii="Times New Roman" w:hAnsi="Times New Roman"/>
          <w:szCs w:val="32"/>
        </w:rPr>
        <w:t>-</w:t>
      </w:r>
      <w:r>
        <w:rPr>
          <w:rFonts w:ascii="Times New Roman" w:hAnsi="Times New Roman"/>
          <w:szCs w:val="32"/>
        </w:rPr>
        <w:t>保合</w:t>
      </w:r>
      <w:r>
        <w:rPr>
          <w:rFonts w:hint="eastAsia" w:ascii="Times New Roman" w:hAnsi="Times New Roman"/>
          <w:szCs w:val="32"/>
        </w:rPr>
        <w:t>-</w:t>
      </w:r>
      <w:r>
        <w:rPr>
          <w:rFonts w:ascii="Times New Roman" w:hAnsi="Times New Roman"/>
          <w:szCs w:val="32"/>
        </w:rPr>
        <w:t>树人</w:t>
      </w:r>
      <w:r>
        <w:rPr>
          <w:rFonts w:hint="eastAsia" w:ascii="Times New Roman" w:hAnsi="Times New Roman"/>
          <w:szCs w:val="32"/>
        </w:rPr>
        <w:t>-</w:t>
      </w:r>
      <w:r>
        <w:rPr>
          <w:rFonts w:ascii="Times New Roman" w:hAnsi="Times New Roman"/>
          <w:szCs w:val="32"/>
        </w:rPr>
        <w:t>名山街道</w:t>
      </w:r>
      <w:r>
        <w:rPr>
          <w:rFonts w:hint="eastAsia" w:ascii="Times New Roman" w:hAnsi="Times New Roman"/>
          <w:szCs w:val="32"/>
        </w:rPr>
        <w:t>”</w:t>
      </w:r>
      <w:r>
        <w:rPr>
          <w:rFonts w:ascii="Times New Roman" w:hAnsi="Times New Roman"/>
          <w:szCs w:val="32"/>
        </w:rPr>
        <w:t>的北岸产业环线，助推北岸片区榨菜、红心柚、花椒、茶叶等产业发展；重点围绕南岸九重天、雪玉洞、轿子山、南天湖、雪玉山等度假区、旅游区及乡村旅游，构建</w:t>
      </w:r>
      <w:r>
        <w:rPr>
          <w:rFonts w:hint="eastAsia" w:ascii="Times New Roman" w:hAnsi="Times New Roman"/>
          <w:szCs w:val="32"/>
        </w:rPr>
        <w:t>“</w:t>
      </w:r>
      <w:r>
        <w:rPr>
          <w:rFonts w:ascii="Times New Roman" w:hAnsi="Times New Roman"/>
          <w:szCs w:val="32"/>
        </w:rPr>
        <w:t>三合街道</w:t>
      </w:r>
      <w:r>
        <w:rPr>
          <w:rFonts w:hint="eastAsia" w:ascii="Times New Roman" w:hAnsi="Times New Roman"/>
          <w:szCs w:val="32"/>
        </w:rPr>
        <w:t>-</w:t>
      </w:r>
      <w:r>
        <w:rPr>
          <w:rFonts w:ascii="Times New Roman" w:hAnsi="Times New Roman"/>
          <w:szCs w:val="32"/>
        </w:rPr>
        <w:t>包鸾</w:t>
      </w:r>
      <w:r>
        <w:rPr>
          <w:rFonts w:hint="eastAsia" w:ascii="Times New Roman" w:hAnsi="Times New Roman"/>
          <w:szCs w:val="32"/>
        </w:rPr>
        <w:t>-</w:t>
      </w:r>
      <w:r>
        <w:rPr>
          <w:rFonts w:ascii="Times New Roman" w:hAnsi="Times New Roman"/>
          <w:szCs w:val="32"/>
        </w:rPr>
        <w:t>仙女湖</w:t>
      </w:r>
      <w:r>
        <w:rPr>
          <w:rFonts w:hint="eastAsia" w:ascii="Times New Roman" w:hAnsi="Times New Roman"/>
          <w:szCs w:val="32"/>
        </w:rPr>
        <w:t>-</w:t>
      </w:r>
      <w:r>
        <w:rPr>
          <w:rFonts w:ascii="Times New Roman" w:hAnsi="Times New Roman"/>
          <w:szCs w:val="32"/>
        </w:rPr>
        <w:t>南天湖</w:t>
      </w:r>
      <w:r>
        <w:rPr>
          <w:rFonts w:hint="eastAsia" w:ascii="Times New Roman" w:hAnsi="Times New Roman"/>
          <w:szCs w:val="32"/>
        </w:rPr>
        <w:t>-</w:t>
      </w:r>
      <w:r>
        <w:rPr>
          <w:rFonts w:ascii="Times New Roman" w:hAnsi="Times New Roman"/>
          <w:szCs w:val="32"/>
        </w:rPr>
        <w:t>暨龙</w:t>
      </w:r>
      <w:r>
        <w:rPr>
          <w:rFonts w:hint="eastAsia" w:ascii="Times New Roman" w:hAnsi="Times New Roman"/>
          <w:szCs w:val="32"/>
        </w:rPr>
        <w:t>-</w:t>
      </w:r>
      <w:r>
        <w:rPr>
          <w:rFonts w:ascii="Times New Roman" w:hAnsi="Times New Roman"/>
          <w:szCs w:val="32"/>
        </w:rPr>
        <w:t>武平</w:t>
      </w:r>
      <w:r>
        <w:rPr>
          <w:rFonts w:hint="eastAsia" w:ascii="Times New Roman" w:hAnsi="Times New Roman"/>
          <w:szCs w:val="32"/>
        </w:rPr>
        <w:t>-</w:t>
      </w:r>
      <w:r>
        <w:rPr>
          <w:rFonts w:ascii="Times New Roman" w:hAnsi="Times New Roman"/>
          <w:szCs w:val="32"/>
        </w:rPr>
        <w:t>龙河</w:t>
      </w:r>
      <w:r>
        <w:rPr>
          <w:rFonts w:hint="eastAsia" w:ascii="Times New Roman" w:hAnsi="Times New Roman"/>
          <w:szCs w:val="32"/>
        </w:rPr>
        <w:t>-</w:t>
      </w:r>
      <w:r>
        <w:rPr>
          <w:rFonts w:ascii="Times New Roman" w:hAnsi="Times New Roman"/>
          <w:szCs w:val="32"/>
        </w:rPr>
        <w:t>三建</w:t>
      </w:r>
      <w:r>
        <w:rPr>
          <w:rFonts w:hint="eastAsia" w:ascii="Times New Roman" w:hAnsi="Times New Roman"/>
          <w:szCs w:val="32"/>
        </w:rPr>
        <w:t>-</w:t>
      </w:r>
      <w:r>
        <w:rPr>
          <w:rFonts w:ascii="Times New Roman" w:hAnsi="Times New Roman"/>
          <w:szCs w:val="32"/>
        </w:rPr>
        <w:t>双路</w:t>
      </w:r>
      <w:r>
        <w:rPr>
          <w:rFonts w:hint="eastAsia" w:ascii="Times New Roman" w:hAnsi="Times New Roman"/>
          <w:szCs w:val="32"/>
        </w:rPr>
        <w:t>-</w:t>
      </w:r>
      <w:r>
        <w:rPr>
          <w:rFonts w:ascii="Times New Roman" w:hAnsi="Times New Roman"/>
          <w:szCs w:val="32"/>
        </w:rPr>
        <w:t>三合街道</w:t>
      </w:r>
      <w:r>
        <w:rPr>
          <w:rFonts w:hint="eastAsia" w:ascii="Times New Roman" w:hAnsi="Times New Roman"/>
          <w:szCs w:val="32"/>
        </w:rPr>
        <w:t>”</w:t>
      </w:r>
      <w:r>
        <w:rPr>
          <w:rFonts w:ascii="Times New Roman" w:hAnsi="Times New Roman"/>
          <w:szCs w:val="32"/>
        </w:rPr>
        <w:t>的南岸旅游环线，助推南岸旅游产业发展。全面提升普通国省道的通行能力和服务水平的同时，进一步强化镇与镇之间的互联互通。</w:t>
      </w:r>
    </w:p>
    <w:p w14:paraId="7D31C2E5">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重点实施G351长江大桥至红岩头（涪陵界）路面改造工程8.2公里、S520老鸦阡至厢坝路面改造工程26公里、S512永兴至一碗水升级改造工程3公里、S102猪鼻孔至包鸾升级改造工程8公里、S518韭菜堡至洞湾升级改造工程18公里等一批重点国省干线升级改造工程，促进</w:t>
      </w:r>
      <w:r>
        <w:rPr>
          <w:rFonts w:hint="eastAsia" w:ascii="Times New Roman" w:hAnsi="Times New Roman"/>
          <w:szCs w:val="32"/>
        </w:rPr>
        <w:t>“</w:t>
      </w:r>
      <w:r>
        <w:rPr>
          <w:rFonts w:ascii="Times New Roman" w:hAnsi="Times New Roman"/>
          <w:szCs w:val="32"/>
        </w:rPr>
        <w:t>交通+产业</w:t>
      </w:r>
      <w:r>
        <w:rPr>
          <w:rFonts w:hint="eastAsia" w:ascii="Times New Roman" w:hAnsi="Times New Roman"/>
          <w:szCs w:val="32"/>
        </w:rPr>
        <w:t>”</w:t>
      </w:r>
      <w:r>
        <w:rPr>
          <w:rFonts w:ascii="Times New Roman" w:hAnsi="Times New Roman"/>
          <w:szCs w:val="32"/>
        </w:rPr>
        <w:t>、</w:t>
      </w:r>
      <w:r>
        <w:rPr>
          <w:rFonts w:hint="eastAsia" w:ascii="Times New Roman" w:hAnsi="Times New Roman"/>
          <w:szCs w:val="32"/>
        </w:rPr>
        <w:t>“</w:t>
      </w:r>
      <w:r>
        <w:rPr>
          <w:rFonts w:ascii="Times New Roman" w:hAnsi="Times New Roman"/>
          <w:szCs w:val="32"/>
        </w:rPr>
        <w:t>交通+旅游</w:t>
      </w:r>
      <w:r>
        <w:rPr>
          <w:rFonts w:hint="eastAsia" w:ascii="Times New Roman" w:hAnsi="Times New Roman"/>
          <w:szCs w:val="32"/>
        </w:rPr>
        <w:t>”</w:t>
      </w:r>
      <w:r>
        <w:rPr>
          <w:rFonts w:ascii="Times New Roman" w:hAnsi="Times New Roman"/>
          <w:szCs w:val="32"/>
        </w:rPr>
        <w:t>融合发展。</w:t>
      </w:r>
    </w:p>
    <w:p w14:paraId="2B1B9C7F">
      <w:pPr>
        <w:spacing w:line="560" w:lineRule="exact"/>
        <w:ind w:firstLine="640" w:firstLineChars="200"/>
        <w:rPr>
          <w:rFonts w:ascii="Times New Roman" w:hAnsi="Times New Roman"/>
          <w:szCs w:val="32"/>
        </w:rPr>
      </w:pPr>
      <w:r>
        <w:rPr>
          <w:rFonts w:ascii="Times New Roman" w:hAnsi="Times New Roman" w:eastAsia="方正楷体_GBK"/>
          <w:szCs w:val="32"/>
        </w:rPr>
        <w:t>（三）完善六条高速公路射线</w:t>
      </w:r>
      <w:r>
        <w:rPr>
          <w:rFonts w:ascii="Times New Roman" w:hAnsi="Times New Roman"/>
          <w:szCs w:val="32"/>
        </w:rPr>
        <w:t>。以丰都为中心，充分发挥</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连接点作用，强化对周边区县集聚辐射，依托垫丰武高速丰都至垫江段、涪陵白涛至丰都高速、游轮辅港经南天湖至仙女山机场快速通道、丰彭高速、丰石旅游高速、沿江高速北线丰都至忠县段6条高速，形成辐射周边垫江、涪陵、武隆、彭水、石柱、忠县6个区县的高速公路辐射通道。</w:t>
      </w:r>
    </w:p>
    <w:p w14:paraId="5EE3B886">
      <w:pPr>
        <w:spacing w:line="560" w:lineRule="exact"/>
        <w:ind w:firstLine="640" w:firstLineChars="200"/>
        <w:rPr>
          <w:rFonts w:ascii="Times New Roman" w:hAnsi="Times New Roman"/>
          <w:szCs w:val="32"/>
        </w:rPr>
      </w:pPr>
      <w:r>
        <w:rPr>
          <w:rFonts w:ascii="Times New Roman" w:hAnsi="Times New Roman" w:eastAsia="方正楷体_GBK"/>
          <w:szCs w:val="32"/>
        </w:rPr>
        <w:t>（四）完成一批节点联线</w:t>
      </w:r>
      <w:r>
        <w:rPr>
          <w:rFonts w:ascii="Times New Roman" w:hAnsi="Times New Roman"/>
          <w:szCs w:val="32"/>
        </w:rPr>
        <w:t>。依托重要枢纽节点和快速通道，规划建设一批铁路、高速路、港口、乡镇之间连接线工程，打通</w:t>
      </w:r>
      <w:r>
        <w:rPr>
          <w:rFonts w:hint="eastAsia" w:ascii="Times New Roman" w:hAnsi="Times New Roman"/>
          <w:szCs w:val="32"/>
        </w:rPr>
        <w:t>“</w:t>
      </w:r>
      <w:r>
        <w:rPr>
          <w:rFonts w:ascii="Times New Roman" w:hAnsi="Times New Roman"/>
          <w:szCs w:val="32"/>
        </w:rPr>
        <w:t>最后一公里</w:t>
      </w:r>
      <w:r>
        <w:rPr>
          <w:rFonts w:hint="eastAsia" w:ascii="Times New Roman" w:hAnsi="Times New Roman"/>
          <w:szCs w:val="32"/>
        </w:rPr>
        <w:t>”</w:t>
      </w:r>
      <w:r>
        <w:rPr>
          <w:rFonts w:ascii="Times New Roman" w:hAnsi="Times New Roman"/>
          <w:szCs w:val="32"/>
        </w:rPr>
        <w:t>，实现对外通道与区域网络间互联互通。</w:t>
      </w:r>
    </w:p>
    <w:p w14:paraId="78984D0D">
      <w:pPr>
        <w:spacing w:line="56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重点实施新建垫丰武高速社坛互通至S205连接线8公里、垫丰武高速保合盖灵庙互通至S205连接线8公里、垫丰武高速树人互通连接线2公里、改扩建重庆港丰都港区水天坪作业区公路连接线3.5公里等一批高速公路和港口连接线项目共46公里。</w:t>
      </w:r>
    </w:p>
    <w:p w14:paraId="17F8DCF6">
      <w:pPr>
        <w:pStyle w:val="2"/>
        <w:rPr>
          <w:rFonts w:eastAsia="方正仿宋_GBK"/>
          <w:szCs w:val="32"/>
        </w:rPr>
      </w:pPr>
      <w:r>
        <w:rPr>
          <w:rFonts w:eastAsia="方正仿宋_GBK"/>
          <w:szCs w:val="32"/>
        </w:rPr>
        <w:drawing>
          <wp:anchor distT="0" distB="0" distL="114300" distR="114300" simplePos="0" relativeHeight="251659264" behindDoc="0" locked="0" layoutInCell="1" allowOverlap="1">
            <wp:simplePos x="0" y="0"/>
            <wp:positionH relativeFrom="column">
              <wp:posOffset>84455</wp:posOffset>
            </wp:positionH>
            <wp:positionV relativeFrom="paragraph">
              <wp:posOffset>191770</wp:posOffset>
            </wp:positionV>
            <wp:extent cx="5467350" cy="3916680"/>
            <wp:effectExtent l="0" t="0" r="0" b="7620"/>
            <wp:wrapNone/>
            <wp:docPr id="2" name="图片 2" descr="国省道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省道4"/>
                    <pic:cNvPicPr>
                      <a:picLocks noChangeAspect="1"/>
                    </pic:cNvPicPr>
                  </pic:nvPicPr>
                  <pic:blipFill>
                    <a:blip r:embed="rId23"/>
                    <a:srcRect l="2502" t="10991" r="1935" b="2406"/>
                    <a:stretch>
                      <a:fillRect/>
                    </a:stretch>
                  </pic:blipFill>
                  <pic:spPr>
                    <a:xfrm>
                      <a:off x="0" y="0"/>
                      <a:ext cx="5467350" cy="3916680"/>
                    </a:xfrm>
                    <a:prstGeom prst="rect">
                      <a:avLst/>
                    </a:prstGeom>
                    <a:noFill/>
                    <a:ln>
                      <a:noFill/>
                    </a:ln>
                  </pic:spPr>
                </pic:pic>
              </a:graphicData>
            </a:graphic>
          </wp:anchor>
        </w:drawing>
      </w:r>
    </w:p>
    <w:p w14:paraId="189889C6"/>
    <w:p w14:paraId="7A40DF21">
      <w:pPr>
        <w:spacing w:line="600" w:lineRule="exact"/>
        <w:rPr>
          <w:rFonts w:ascii="Times New Roman" w:hAnsi="Times New Roman"/>
          <w:szCs w:val="32"/>
        </w:rPr>
      </w:pPr>
    </w:p>
    <w:p w14:paraId="77F28B75">
      <w:pPr>
        <w:spacing w:line="600" w:lineRule="exact"/>
        <w:ind w:firstLine="640"/>
        <w:rPr>
          <w:rFonts w:ascii="Times New Roman" w:hAnsi="Times New Roman"/>
          <w:szCs w:val="32"/>
        </w:rPr>
      </w:pPr>
    </w:p>
    <w:p w14:paraId="37D2E5AD">
      <w:pPr>
        <w:spacing w:line="600" w:lineRule="exact"/>
        <w:ind w:firstLine="640"/>
        <w:rPr>
          <w:rFonts w:ascii="Times New Roman" w:hAnsi="Times New Roman"/>
          <w:szCs w:val="32"/>
        </w:rPr>
      </w:pPr>
    </w:p>
    <w:p w14:paraId="568EA9EE">
      <w:pPr>
        <w:spacing w:line="600" w:lineRule="exact"/>
        <w:ind w:firstLine="640"/>
        <w:rPr>
          <w:rFonts w:ascii="Times New Roman" w:hAnsi="Times New Roman"/>
          <w:szCs w:val="32"/>
        </w:rPr>
      </w:pPr>
    </w:p>
    <w:p w14:paraId="14F09116">
      <w:pPr>
        <w:spacing w:line="600" w:lineRule="exact"/>
        <w:ind w:firstLine="640"/>
        <w:rPr>
          <w:rFonts w:ascii="Times New Roman" w:hAnsi="Times New Roman"/>
          <w:szCs w:val="32"/>
        </w:rPr>
      </w:pPr>
    </w:p>
    <w:p w14:paraId="4B58443F">
      <w:pPr>
        <w:spacing w:line="600" w:lineRule="exact"/>
        <w:ind w:firstLine="640"/>
        <w:rPr>
          <w:rFonts w:ascii="Times New Roman" w:hAnsi="Times New Roman"/>
          <w:szCs w:val="32"/>
        </w:rPr>
      </w:pPr>
    </w:p>
    <w:p w14:paraId="0C8B7ADE">
      <w:pPr>
        <w:spacing w:line="600" w:lineRule="exact"/>
        <w:ind w:firstLine="640"/>
        <w:rPr>
          <w:rFonts w:ascii="Times New Roman" w:hAnsi="Times New Roman"/>
          <w:szCs w:val="32"/>
        </w:rPr>
      </w:pPr>
    </w:p>
    <w:p w14:paraId="02C901E3">
      <w:pPr>
        <w:spacing w:line="600" w:lineRule="exact"/>
        <w:ind w:firstLine="640"/>
        <w:rPr>
          <w:rFonts w:ascii="Times New Roman" w:hAnsi="Times New Roman"/>
          <w:szCs w:val="32"/>
        </w:rPr>
      </w:pPr>
    </w:p>
    <w:p w14:paraId="221BE3F3">
      <w:pPr>
        <w:spacing w:line="600" w:lineRule="exact"/>
        <w:ind w:firstLine="640"/>
        <w:rPr>
          <w:rFonts w:ascii="Times New Roman" w:hAnsi="Times New Roman"/>
          <w:szCs w:val="32"/>
        </w:rPr>
      </w:pPr>
    </w:p>
    <w:p w14:paraId="6F206447">
      <w:pPr>
        <w:pStyle w:val="6"/>
        <w:spacing w:before="0" w:line="600" w:lineRule="exact"/>
        <w:ind w:left="0"/>
        <w:jc w:val="center"/>
        <w:rPr>
          <w:rFonts w:ascii="Times New Roman" w:hAnsi="Times New Roman" w:eastAsia="方正仿宋_GBK"/>
          <w:sz w:val="32"/>
          <w:szCs w:val="32"/>
        </w:rPr>
      </w:pPr>
      <w:r>
        <w:rPr>
          <w:rFonts w:ascii="Times New Roman" w:hAnsi="Times New Roman" w:eastAsia="方正仿宋_GBK"/>
          <w:sz w:val="32"/>
          <w:szCs w:val="32"/>
        </w:rPr>
        <w:t>图4</w:t>
      </w:r>
      <w:r>
        <w:rPr>
          <w:rFonts w:hint="eastAsia" w:ascii="Times New Roman" w:hAnsi="Times New Roman" w:eastAsia="方正仿宋_GBK"/>
          <w:sz w:val="32"/>
          <w:szCs w:val="32"/>
        </w:rPr>
        <w:t>-</w:t>
      </w:r>
      <w:r>
        <w:rPr>
          <w:rFonts w:ascii="Times New Roman" w:hAnsi="Times New Roman" w:eastAsia="方正仿宋_GBK"/>
          <w:sz w:val="32"/>
          <w:szCs w:val="32"/>
        </w:rPr>
        <w:t>3 国省道项目图</w:t>
      </w:r>
      <w:r>
        <w:rPr>
          <w:rFonts w:ascii="Times New Roman" w:hAnsi="Times New Roman" w:eastAsia="方正仿宋_GBK"/>
          <w:sz w:val="32"/>
          <w:szCs w:val="32"/>
        </w:rPr>
        <w:br w:type="page"/>
      </w:r>
    </w:p>
    <w:tbl>
      <w:tblPr>
        <w:tblStyle w:val="13"/>
        <w:tblpPr w:leftFromText="180" w:rightFromText="180" w:vertAnchor="text" w:horzAnchor="margin" w:tblpXSpec="center" w:tblpY="-3"/>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2420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516" w:type="dxa"/>
          </w:tcPr>
          <w:p w14:paraId="7CC3FACF">
            <w:pPr>
              <w:spacing w:line="400" w:lineRule="exact"/>
              <w:ind w:firstLine="560"/>
              <w:jc w:val="center"/>
              <w:rPr>
                <w:rFonts w:ascii="Times New Roman" w:hAnsi="Times New Roman"/>
                <w:sz w:val="28"/>
                <w:szCs w:val="28"/>
              </w:rPr>
            </w:pPr>
            <w:r>
              <w:rPr>
                <w:rFonts w:ascii="Times New Roman" w:hAnsi="Times New Roman"/>
                <w:sz w:val="28"/>
                <w:szCs w:val="28"/>
              </w:rPr>
              <w:t xml:space="preserve">专栏2 </w:t>
            </w:r>
            <w:r>
              <w:rPr>
                <w:rFonts w:hint="eastAsia" w:ascii="Times New Roman" w:hAnsi="Times New Roman"/>
                <w:sz w:val="28"/>
                <w:szCs w:val="28"/>
              </w:rPr>
              <w:t>“</w:t>
            </w:r>
            <w:r>
              <w:rPr>
                <w:rFonts w:ascii="Times New Roman" w:hAnsi="Times New Roman"/>
                <w:sz w:val="28"/>
                <w:szCs w:val="28"/>
              </w:rPr>
              <w:t>十四五</w:t>
            </w:r>
            <w:r>
              <w:rPr>
                <w:rFonts w:hint="eastAsia" w:ascii="Times New Roman" w:hAnsi="Times New Roman"/>
                <w:sz w:val="28"/>
                <w:szCs w:val="28"/>
              </w:rPr>
              <w:t>”</w:t>
            </w:r>
            <w:r>
              <w:rPr>
                <w:rFonts w:ascii="Times New Roman" w:hAnsi="Times New Roman"/>
                <w:sz w:val="28"/>
                <w:szCs w:val="28"/>
              </w:rPr>
              <w:t>干线网重点项目</w:t>
            </w:r>
          </w:p>
        </w:tc>
      </w:tr>
      <w:tr w14:paraId="3A6E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8516" w:type="dxa"/>
          </w:tcPr>
          <w:p w14:paraId="191AD668">
            <w:pPr>
              <w:spacing w:line="400" w:lineRule="exact"/>
              <w:ind w:firstLine="562"/>
              <w:rPr>
                <w:rFonts w:ascii="Times New Roman" w:hAnsi="Times New Roman"/>
                <w:sz w:val="28"/>
                <w:szCs w:val="28"/>
              </w:rPr>
            </w:pPr>
            <w:r>
              <w:rPr>
                <w:rFonts w:ascii="Times New Roman" w:hAnsi="Times New Roman"/>
                <w:sz w:val="28"/>
                <w:szCs w:val="28"/>
              </w:rPr>
              <w:t>国省道：推进完成G351长江大桥至红岩头（涪陵界）、G348古家店至长江大桥改线工程、G351龙河东至高镇、S520老鸦阡至厢坝、S512永兴至一碗水、S102猪鼻孔至包鸾、S518韭菜堡至洞湾等项目建设；做好G348石岭岗至大梨树改线新建工程、G348树人镇至石岭岗、S102包鸾至汇南、S205垫武路马良大桥至武隆界、S205垫武路社坛至古家店、S512辽叶坝桥至青龙、S518龙河至武平、S518都督至武隆</w:t>
            </w:r>
            <w:r>
              <w:rPr>
                <w:rFonts w:hint="eastAsia" w:ascii="Times New Roman" w:hAnsi="Times New Roman"/>
                <w:sz w:val="28"/>
                <w:szCs w:val="28"/>
              </w:rPr>
              <w:t>区</w:t>
            </w:r>
            <w:r>
              <w:rPr>
                <w:rFonts w:ascii="Times New Roman" w:hAnsi="Times New Roman"/>
                <w:sz w:val="28"/>
                <w:szCs w:val="28"/>
              </w:rPr>
              <w:t>界、S519南天湖至武隆、S205垫武路七狼土地至鲁家冲、S102龙河至江池、S205垫武路龙河东至马良大桥、S204忠县界至高镇加油站等项目储备。</w:t>
            </w:r>
          </w:p>
          <w:p w14:paraId="153BF994">
            <w:pPr>
              <w:spacing w:line="400" w:lineRule="exact"/>
              <w:ind w:firstLine="562"/>
              <w:rPr>
                <w:rFonts w:ascii="Times New Roman" w:hAnsi="Times New Roman"/>
                <w:sz w:val="28"/>
                <w:szCs w:val="28"/>
              </w:rPr>
            </w:pPr>
            <w:r>
              <w:rPr>
                <w:rFonts w:ascii="Times New Roman" w:hAnsi="Times New Roman"/>
                <w:sz w:val="28"/>
                <w:szCs w:val="28"/>
              </w:rPr>
              <w:t>连接线：建成垫丰武高速社坛互通至S205连接线、垫丰武高速保合盖灵庙互通至S205连接线、垫丰武高速树人互通连接线、垫丰武高速兴义过江公路桥梁北岸至国道G348连接线、垫丰武高速兴义过江公路桥梁（长江三桥）、垫丰武高速兴义过江公路桥梁南岸至国道G351连接线、垫丰武高速三建互通至S102连接线、垫丰武高速暨龙互通至S520连接线、重庆港丰都港区水天坪作业区对外连接通道等连接线；推进涪丰石高速湛普互通及其</w:t>
            </w:r>
            <w:r>
              <w:rPr>
                <w:rFonts w:hint="eastAsia" w:ascii="Times New Roman" w:hAnsi="Times New Roman"/>
                <w:sz w:val="28"/>
                <w:szCs w:val="28"/>
                <w:lang w:eastAsia="zh-CN"/>
              </w:rPr>
              <w:t>连接</w:t>
            </w:r>
            <w:r>
              <w:rPr>
                <w:rFonts w:ascii="Times New Roman" w:hAnsi="Times New Roman"/>
                <w:sz w:val="28"/>
                <w:szCs w:val="28"/>
              </w:rPr>
              <w:t>线前期工作。</w:t>
            </w:r>
          </w:p>
        </w:tc>
      </w:tr>
    </w:tbl>
    <w:p w14:paraId="3981EE3A">
      <w:pPr>
        <w:pStyle w:val="4"/>
        <w:keepNext w:val="0"/>
        <w:keepLines w:val="0"/>
        <w:widowControl w:val="0"/>
        <w:spacing w:beforeLines="0" w:afterLines="0"/>
        <w:ind w:firstLine="640"/>
        <w:rPr>
          <w:rFonts w:eastAsia="方正黑体_GBK"/>
          <w:b w:val="0"/>
          <w:bCs w:val="0"/>
          <w:kern w:val="28"/>
        </w:rPr>
      </w:pPr>
      <w:bookmarkStart w:id="95" w:name="_Toc24245"/>
      <w:r>
        <w:rPr>
          <w:rFonts w:eastAsia="方正黑体_GBK"/>
          <w:b w:val="0"/>
          <w:bCs w:val="0"/>
          <w:kern w:val="28"/>
        </w:rPr>
        <w:t>三、城乡一体化，夯实基础网</w:t>
      </w:r>
      <w:bookmarkEnd w:id="95"/>
    </w:p>
    <w:p w14:paraId="75BFA8E1">
      <w:pPr>
        <w:spacing w:line="600" w:lineRule="exact"/>
        <w:ind w:firstLine="640"/>
        <w:rPr>
          <w:rFonts w:ascii="Times New Roman" w:hAnsi="Times New Roman"/>
          <w:szCs w:val="32"/>
        </w:rPr>
      </w:pPr>
      <w:r>
        <w:rPr>
          <w:rFonts w:ascii="Times New Roman" w:hAnsi="Times New Roman"/>
          <w:szCs w:val="32"/>
        </w:rPr>
        <w:t>围绕交通强市</w:t>
      </w:r>
      <w:r>
        <w:rPr>
          <w:rFonts w:hint="eastAsia" w:ascii="Times New Roman" w:hAnsi="Times New Roman"/>
          <w:szCs w:val="32"/>
        </w:rPr>
        <w:t>“</w:t>
      </w:r>
      <w:r>
        <w:rPr>
          <w:rFonts w:ascii="Times New Roman" w:hAnsi="Times New Roman"/>
          <w:szCs w:val="32"/>
        </w:rPr>
        <w:t>强产业，推动交通多元融合发展</w:t>
      </w:r>
      <w:r>
        <w:rPr>
          <w:rFonts w:hint="eastAsia" w:ascii="Times New Roman" w:hAnsi="Times New Roman"/>
          <w:szCs w:val="32"/>
        </w:rPr>
        <w:t>”</w:t>
      </w:r>
      <w:r>
        <w:rPr>
          <w:rFonts w:ascii="Times New Roman" w:hAnsi="Times New Roman"/>
          <w:szCs w:val="32"/>
        </w:rPr>
        <w:t>要求和乡村振兴，按照</w:t>
      </w:r>
      <w:r>
        <w:rPr>
          <w:rFonts w:hint="eastAsia" w:ascii="Times New Roman" w:hAnsi="Times New Roman"/>
          <w:szCs w:val="32"/>
        </w:rPr>
        <w:t>“</w:t>
      </w:r>
      <w:r>
        <w:rPr>
          <w:rFonts w:ascii="Times New Roman" w:hAnsi="Times New Roman"/>
          <w:szCs w:val="32"/>
        </w:rPr>
        <w:t>乡乡三级路、村村双车道、社社通畅路</w:t>
      </w:r>
      <w:r>
        <w:rPr>
          <w:rFonts w:hint="eastAsia" w:ascii="Times New Roman" w:hAnsi="Times New Roman"/>
          <w:szCs w:val="32"/>
        </w:rPr>
        <w:t>”</w:t>
      </w:r>
      <w:r>
        <w:rPr>
          <w:rFonts w:ascii="Times New Roman" w:hAnsi="Times New Roman"/>
          <w:szCs w:val="32"/>
        </w:rPr>
        <w:t>的高质量发展目标，着力推进实施窄路面拓宽工程等项目，打造最美乡村公路，争创</w:t>
      </w:r>
      <w:r>
        <w:rPr>
          <w:rFonts w:hint="eastAsia" w:ascii="Times New Roman" w:hAnsi="Times New Roman"/>
          <w:szCs w:val="32"/>
        </w:rPr>
        <w:t>“</w:t>
      </w:r>
      <w:r>
        <w:rPr>
          <w:rFonts w:ascii="Times New Roman" w:hAnsi="Times New Roman"/>
          <w:szCs w:val="32"/>
        </w:rPr>
        <w:t>四好农村路</w:t>
      </w:r>
      <w:r>
        <w:rPr>
          <w:rFonts w:hint="eastAsia" w:ascii="Times New Roman" w:hAnsi="Times New Roman"/>
          <w:szCs w:val="32"/>
        </w:rPr>
        <w:t>”</w:t>
      </w:r>
      <w:r>
        <w:rPr>
          <w:rFonts w:ascii="Times New Roman" w:hAnsi="Times New Roman"/>
          <w:szCs w:val="32"/>
        </w:rPr>
        <w:t>示范县，加快城乡客运服务一体化建设。</w:t>
      </w:r>
    </w:p>
    <w:p w14:paraId="2E382BA1">
      <w:pPr>
        <w:spacing w:line="600" w:lineRule="exact"/>
        <w:ind w:firstLine="640" w:firstLineChars="200"/>
        <w:rPr>
          <w:rFonts w:ascii="Times New Roman" w:hAnsi="Times New Roman"/>
          <w:szCs w:val="32"/>
        </w:rPr>
      </w:pPr>
      <w:r>
        <w:rPr>
          <w:rFonts w:ascii="Times New Roman" w:hAnsi="Times New Roman" w:eastAsia="方正楷体_GBK"/>
          <w:szCs w:val="32"/>
        </w:rPr>
        <w:t>（一）农村道路提档升级</w:t>
      </w:r>
      <w:r>
        <w:rPr>
          <w:rFonts w:ascii="Times New Roman" w:hAnsi="Times New Roman"/>
          <w:szCs w:val="32"/>
        </w:rPr>
        <w:t>。强化道路的基础网络保障功能，打通节点，基于现状及未来规划的景区、产业园区以及乡镇间绕行路等，实施一批景区连接道、园区连接道、乡镇联网路工程，不断提升通村、通镇路网服务品质，支撑乡村振兴发展。</w:t>
      </w:r>
    </w:p>
    <w:p w14:paraId="400115EE">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期间，围绕旅游路、产业路，重点完成青龙至十直公路等共209公里重要县乡道升级改造工程。以构建</w:t>
      </w:r>
      <w:r>
        <w:rPr>
          <w:rFonts w:hint="eastAsia" w:ascii="Times New Roman" w:hAnsi="Times New Roman"/>
          <w:szCs w:val="32"/>
        </w:rPr>
        <w:t>“</w:t>
      </w:r>
      <w:r>
        <w:rPr>
          <w:rFonts w:ascii="Times New Roman" w:hAnsi="Times New Roman"/>
          <w:szCs w:val="32"/>
        </w:rPr>
        <w:t>幸福路</w:t>
      </w:r>
      <w:r>
        <w:rPr>
          <w:rFonts w:hint="eastAsia" w:ascii="Times New Roman" w:hAnsi="Times New Roman"/>
          <w:szCs w:val="32"/>
        </w:rPr>
        <w:t>”</w:t>
      </w:r>
      <w:r>
        <w:rPr>
          <w:rFonts w:ascii="Times New Roman" w:hAnsi="Times New Roman"/>
          <w:szCs w:val="32"/>
        </w:rPr>
        <w:t>为出发点，加快推进农村公路建设，规划重点实施旅游路、产业路、农客路窄路面加宽、油返砂、单车道改双车道、安全设施等项目，切实满足农村群众安全便捷出行和生产生活需要，切实满足全县旅游产业和特色农产品产业发展需要，不断增强全县人民群众的获得感、幸福感、安全感，重点完成400多公里建设改造任务。</w:t>
      </w:r>
    </w:p>
    <w:p w14:paraId="462B4215">
      <w:pPr>
        <w:spacing w:line="600" w:lineRule="exact"/>
        <w:ind w:firstLine="640" w:firstLineChars="200"/>
        <w:rPr>
          <w:rFonts w:ascii="Times New Roman" w:hAnsi="Times New Roman"/>
          <w:kern w:val="0"/>
          <w:szCs w:val="32"/>
        </w:rPr>
      </w:pPr>
      <w:r>
        <w:rPr>
          <w:rFonts w:ascii="Times New Roman" w:hAnsi="Times New Roman" w:eastAsia="方正楷体_GBK"/>
          <w:szCs w:val="32"/>
        </w:rPr>
        <w:t>（二）推进城乡物流融合发展</w:t>
      </w:r>
      <w:r>
        <w:rPr>
          <w:rFonts w:ascii="Times New Roman" w:hAnsi="Times New Roman"/>
          <w:kern w:val="0"/>
          <w:szCs w:val="32"/>
        </w:rPr>
        <w:t>。</w:t>
      </w:r>
      <w:r>
        <w:rPr>
          <w:rFonts w:ascii="Times New Roman" w:hAnsi="Times New Roman"/>
          <w:szCs w:val="32"/>
        </w:rPr>
        <w:t>推进城乡交通运输</w:t>
      </w:r>
      <w:r>
        <w:rPr>
          <w:rFonts w:hint="eastAsia" w:ascii="Times New Roman" w:hAnsi="Times New Roman"/>
          <w:szCs w:val="32"/>
        </w:rPr>
        <w:t>“</w:t>
      </w:r>
      <w:r>
        <w:rPr>
          <w:rFonts w:ascii="Times New Roman" w:hAnsi="Times New Roman"/>
          <w:szCs w:val="32"/>
        </w:rPr>
        <w:t>路、站、运、邮</w:t>
      </w:r>
      <w:r>
        <w:rPr>
          <w:rFonts w:hint="eastAsia" w:ascii="Times New Roman" w:hAnsi="Times New Roman"/>
          <w:szCs w:val="32"/>
        </w:rPr>
        <w:t>”</w:t>
      </w:r>
      <w:r>
        <w:rPr>
          <w:rFonts w:ascii="Times New Roman" w:hAnsi="Times New Roman"/>
          <w:szCs w:val="32"/>
        </w:rPr>
        <w:t>协调发展，加快交邮融合发展。按照</w:t>
      </w:r>
      <w:r>
        <w:rPr>
          <w:rFonts w:hint="eastAsia" w:ascii="Times New Roman" w:hAnsi="Times New Roman"/>
          <w:szCs w:val="32"/>
        </w:rPr>
        <w:t>“</w:t>
      </w:r>
      <w:r>
        <w:rPr>
          <w:rFonts w:ascii="Times New Roman" w:hAnsi="Times New Roman"/>
          <w:szCs w:val="32"/>
        </w:rPr>
        <w:t>多点合一、资源共享</w:t>
      </w:r>
      <w:r>
        <w:rPr>
          <w:rFonts w:hint="eastAsia" w:ascii="Times New Roman" w:hAnsi="Times New Roman"/>
          <w:szCs w:val="32"/>
        </w:rPr>
        <w:t>”</w:t>
      </w:r>
      <w:r>
        <w:rPr>
          <w:rFonts w:ascii="Times New Roman" w:hAnsi="Times New Roman"/>
          <w:szCs w:val="32"/>
        </w:rPr>
        <w:t>模式，加快集客运、货运、邮政于一体的乡镇综合客运服务站点建设。</w:t>
      </w:r>
      <w:r>
        <w:rPr>
          <w:rFonts w:ascii="Times New Roman" w:hAnsi="Times New Roman"/>
          <w:kern w:val="0"/>
          <w:szCs w:val="32"/>
        </w:rPr>
        <w:t>完善区、乡（镇）、村三级物流网络节点体系，</w:t>
      </w:r>
      <w:r>
        <w:rPr>
          <w:rFonts w:ascii="Times New Roman" w:hAnsi="Times New Roman"/>
          <w:szCs w:val="32"/>
        </w:rPr>
        <w:t>做大做强县级物流节点建设，建成县级物流集中分拨中心。做优做实乡级物流节点建设，以邮政物流为基础，加强统筹规划，完善服务功能，逐步实施标准服务场地改造。做精做细村级物流节点建设，实现规范管理、规范运行。</w:t>
      </w:r>
      <w:r>
        <w:rPr>
          <w:rFonts w:ascii="Times New Roman" w:hAnsi="Times New Roman"/>
          <w:kern w:val="0"/>
          <w:szCs w:val="32"/>
        </w:rPr>
        <w:t>完善农村配送网络，促进城乡双向流通。提升农村物流服务品质，鼓励发展</w:t>
      </w:r>
      <w:r>
        <w:rPr>
          <w:rFonts w:hint="eastAsia" w:ascii="Times New Roman" w:hAnsi="Times New Roman"/>
          <w:kern w:val="0"/>
          <w:szCs w:val="32"/>
        </w:rPr>
        <w:t>“</w:t>
      </w:r>
      <w:r>
        <w:rPr>
          <w:rFonts w:ascii="Times New Roman" w:hAnsi="Times New Roman"/>
          <w:kern w:val="0"/>
          <w:szCs w:val="32"/>
        </w:rPr>
        <w:t>网络平台货运+农村物流</w:t>
      </w:r>
      <w:r>
        <w:rPr>
          <w:rFonts w:hint="eastAsia" w:ascii="Times New Roman" w:hAnsi="Times New Roman"/>
          <w:kern w:val="0"/>
          <w:szCs w:val="32"/>
        </w:rPr>
        <w:t>”</w:t>
      </w:r>
      <w:r>
        <w:rPr>
          <w:rFonts w:ascii="Times New Roman" w:hAnsi="Times New Roman"/>
          <w:kern w:val="0"/>
          <w:szCs w:val="32"/>
        </w:rPr>
        <w:t>，打造产运销一体化农村物流服务体系，因地制宜培育农村物流服务品牌。在有条件地区推广农村</w:t>
      </w:r>
      <w:r>
        <w:rPr>
          <w:rFonts w:hint="eastAsia" w:ascii="Times New Roman" w:hAnsi="Times New Roman"/>
          <w:kern w:val="0"/>
          <w:szCs w:val="32"/>
        </w:rPr>
        <w:t>“</w:t>
      </w:r>
      <w:r>
        <w:rPr>
          <w:rFonts w:ascii="Times New Roman" w:hAnsi="Times New Roman"/>
          <w:kern w:val="0"/>
          <w:szCs w:val="32"/>
        </w:rPr>
        <w:t>货运班线</w:t>
      </w:r>
      <w:r>
        <w:rPr>
          <w:rFonts w:hint="eastAsia" w:ascii="Times New Roman" w:hAnsi="Times New Roman"/>
          <w:kern w:val="0"/>
          <w:szCs w:val="32"/>
        </w:rPr>
        <w:t>”</w:t>
      </w:r>
      <w:r>
        <w:rPr>
          <w:rFonts w:ascii="Times New Roman" w:hAnsi="Times New Roman"/>
          <w:kern w:val="0"/>
          <w:szCs w:val="32"/>
        </w:rPr>
        <w:t>、客车货舱承接小件快运等创新服务模式。</w:t>
      </w:r>
      <w:r>
        <w:rPr>
          <w:rFonts w:ascii="Times New Roman" w:hAnsi="Times New Roman"/>
          <w:szCs w:val="32"/>
        </w:rPr>
        <w:t>推进邮快合作共配下乡进村，打通工业品下乡、农产品进城</w:t>
      </w:r>
      <w:r>
        <w:rPr>
          <w:rFonts w:hint="eastAsia" w:ascii="Times New Roman" w:hAnsi="Times New Roman"/>
          <w:szCs w:val="32"/>
        </w:rPr>
        <w:t>“</w:t>
      </w:r>
      <w:r>
        <w:rPr>
          <w:rFonts w:ascii="Times New Roman" w:hAnsi="Times New Roman"/>
          <w:szCs w:val="32"/>
        </w:rPr>
        <w:t>最后一公里</w:t>
      </w:r>
      <w:r>
        <w:rPr>
          <w:rFonts w:hint="eastAsia" w:ascii="Times New Roman" w:hAnsi="Times New Roman"/>
          <w:szCs w:val="32"/>
        </w:rPr>
        <w:t>”</w:t>
      </w:r>
      <w:r>
        <w:rPr>
          <w:rFonts w:ascii="Times New Roman" w:hAnsi="Times New Roman"/>
          <w:szCs w:val="32"/>
        </w:rPr>
        <w:t>。创新</w:t>
      </w:r>
      <w:r>
        <w:rPr>
          <w:rFonts w:hint="eastAsia" w:ascii="Times New Roman" w:hAnsi="Times New Roman"/>
          <w:szCs w:val="32"/>
        </w:rPr>
        <w:t>“</w:t>
      </w:r>
      <w:r>
        <w:rPr>
          <w:rFonts w:ascii="Times New Roman" w:hAnsi="Times New Roman"/>
          <w:szCs w:val="32"/>
        </w:rPr>
        <w:t>三通一达</w:t>
      </w:r>
      <w:r>
        <w:rPr>
          <w:rFonts w:hint="eastAsia" w:ascii="Times New Roman" w:hAnsi="Times New Roman"/>
          <w:szCs w:val="32"/>
        </w:rPr>
        <w:t>”</w:t>
      </w:r>
      <w:r>
        <w:rPr>
          <w:rFonts w:ascii="Times New Roman" w:hAnsi="Times New Roman"/>
          <w:szCs w:val="32"/>
        </w:rPr>
        <w:t>民营快递和邮政快递的合作经营模式，让</w:t>
      </w:r>
      <w:r>
        <w:rPr>
          <w:rFonts w:hint="eastAsia" w:ascii="Times New Roman" w:hAnsi="Times New Roman"/>
          <w:szCs w:val="32"/>
        </w:rPr>
        <w:t>“</w:t>
      </w:r>
      <w:r>
        <w:rPr>
          <w:rFonts w:ascii="Times New Roman" w:hAnsi="Times New Roman"/>
          <w:szCs w:val="32"/>
        </w:rPr>
        <w:t>快递下乡</w:t>
      </w:r>
      <w:r>
        <w:rPr>
          <w:rFonts w:hint="eastAsia" w:ascii="Times New Roman" w:hAnsi="Times New Roman"/>
          <w:szCs w:val="32"/>
        </w:rPr>
        <w:t>”</w:t>
      </w:r>
      <w:r>
        <w:rPr>
          <w:rFonts w:ascii="Times New Roman" w:hAnsi="Times New Roman"/>
          <w:szCs w:val="32"/>
        </w:rPr>
        <w:t>真正进村。</w:t>
      </w:r>
    </w:p>
    <w:p w14:paraId="02C442A1">
      <w:pPr>
        <w:pStyle w:val="6"/>
        <w:spacing w:before="0" w:line="600" w:lineRule="exact"/>
        <w:ind w:left="0" w:firstLine="640" w:firstLineChars="200"/>
        <w:rPr>
          <w:rFonts w:ascii="Times New Roman" w:hAnsi="Times New Roman" w:eastAsia="方正仿宋_GBK"/>
          <w:sz w:val="32"/>
          <w:szCs w:val="32"/>
        </w:rPr>
      </w:pPr>
      <w:r>
        <w:rPr>
          <w:rFonts w:ascii="Times New Roman" w:hAnsi="Times New Roman" w:eastAsia="方正楷体_GBK"/>
          <w:sz w:val="32"/>
          <w:szCs w:val="32"/>
        </w:rPr>
        <w:t>（三）完善城乡客运服务网络</w:t>
      </w:r>
      <w:r>
        <w:rPr>
          <w:rFonts w:ascii="Times New Roman" w:hAnsi="Times New Roman" w:eastAsia="方正仿宋_GBK"/>
          <w:sz w:val="32"/>
          <w:szCs w:val="32"/>
        </w:rPr>
        <w:t>。加快整合城乡客运资源，实施村级招呼站升级改造，完善农村客运线网布局，提高农村客运班车通达率。全力支撑</w:t>
      </w:r>
      <w:r>
        <w:rPr>
          <w:rFonts w:hint="eastAsia" w:ascii="Times New Roman" w:hAnsi="Times New Roman" w:eastAsia="方正仿宋_GBK"/>
          <w:sz w:val="32"/>
          <w:szCs w:val="32"/>
          <w:lang w:eastAsia="zh-CN"/>
        </w:rPr>
        <w:t>乡村振兴战略</w:t>
      </w:r>
      <w:r>
        <w:rPr>
          <w:rFonts w:ascii="Times New Roman" w:hAnsi="Times New Roman" w:eastAsia="方正仿宋_GBK"/>
          <w:sz w:val="32"/>
          <w:szCs w:val="32"/>
        </w:rPr>
        <w:t>，巩固村村通客车成果，积极发展片区农村客运及乡村旅游客运，构建</w:t>
      </w:r>
      <w:r>
        <w:rPr>
          <w:rFonts w:hint="eastAsia" w:ascii="Times New Roman" w:hAnsi="Times New Roman" w:eastAsia="方正仿宋_GBK"/>
          <w:sz w:val="32"/>
          <w:szCs w:val="32"/>
        </w:rPr>
        <w:t>“</w:t>
      </w:r>
      <w:r>
        <w:rPr>
          <w:rFonts w:ascii="Times New Roman" w:hAnsi="Times New Roman" w:eastAsia="方正仿宋_GBK"/>
          <w:sz w:val="32"/>
          <w:szCs w:val="32"/>
        </w:rPr>
        <w:t>固定+预约响应</w:t>
      </w:r>
      <w:r>
        <w:rPr>
          <w:rFonts w:hint="eastAsia" w:ascii="Times New Roman" w:hAnsi="Times New Roman" w:eastAsia="方正仿宋_GBK"/>
          <w:sz w:val="32"/>
          <w:szCs w:val="32"/>
        </w:rPr>
        <w:t>”</w:t>
      </w:r>
      <w:r>
        <w:rPr>
          <w:rFonts w:ascii="Times New Roman" w:hAnsi="Times New Roman" w:eastAsia="方正仿宋_GBK"/>
          <w:sz w:val="32"/>
          <w:szCs w:val="32"/>
        </w:rPr>
        <w:t>的服务模式，全面满足群众出行需求，促进农客向自然村社延伸。加大交通运输支持乡村旅游发展力度，积极拓展</w:t>
      </w:r>
      <w:r>
        <w:rPr>
          <w:rFonts w:hint="eastAsia" w:ascii="Times New Roman" w:hAnsi="Times New Roman" w:eastAsia="方正仿宋_GBK"/>
          <w:sz w:val="32"/>
          <w:szCs w:val="32"/>
        </w:rPr>
        <w:t>“</w:t>
      </w:r>
      <w:r>
        <w:rPr>
          <w:rFonts w:ascii="Times New Roman" w:hAnsi="Times New Roman" w:eastAsia="方正仿宋_GBK"/>
          <w:sz w:val="32"/>
          <w:szCs w:val="32"/>
        </w:rPr>
        <w:t>运游一体</w:t>
      </w:r>
      <w:r>
        <w:rPr>
          <w:rFonts w:hint="eastAsia" w:ascii="Times New Roman" w:hAnsi="Times New Roman" w:eastAsia="方正仿宋_GBK"/>
          <w:sz w:val="32"/>
          <w:szCs w:val="32"/>
        </w:rPr>
        <w:t>”</w:t>
      </w:r>
      <w:r>
        <w:rPr>
          <w:rFonts w:ascii="Times New Roman" w:hAnsi="Times New Roman" w:eastAsia="方正仿宋_GBK"/>
          <w:sz w:val="32"/>
          <w:szCs w:val="32"/>
        </w:rPr>
        <w:t>服务，进一步提升交通服务旅游的保障能力。积极支持休闲农业聚集村、休闲农园、特色景观旅游村、</w:t>
      </w:r>
      <w:r>
        <w:rPr>
          <w:rFonts w:hint="eastAsia" w:ascii="Times New Roman" w:hAnsi="Times New Roman" w:eastAsia="方正仿宋_GBK"/>
          <w:sz w:val="32"/>
          <w:szCs w:val="32"/>
        </w:rPr>
        <w:t>“</w:t>
      </w:r>
      <w:r>
        <w:rPr>
          <w:rFonts w:ascii="Times New Roman" w:hAnsi="Times New Roman" w:eastAsia="方正仿宋_GBK"/>
          <w:sz w:val="32"/>
          <w:szCs w:val="32"/>
        </w:rPr>
        <w:t>农家乐</w:t>
      </w:r>
      <w:r>
        <w:rPr>
          <w:rFonts w:hint="eastAsia" w:ascii="Times New Roman" w:hAnsi="Times New Roman" w:eastAsia="方正仿宋_GBK"/>
          <w:sz w:val="32"/>
          <w:szCs w:val="32"/>
        </w:rPr>
        <w:t>”</w:t>
      </w:r>
      <w:r>
        <w:rPr>
          <w:rFonts w:ascii="Times New Roman" w:hAnsi="Times New Roman" w:eastAsia="方正仿宋_GBK"/>
          <w:sz w:val="32"/>
          <w:szCs w:val="32"/>
        </w:rPr>
        <w:t>等乡村特色旅游区域开通乡村旅游客运线路。</w:t>
      </w:r>
      <w:bookmarkStart w:id="122" w:name="_GoBack"/>
      <w:bookmarkEnd w:id="122"/>
    </w:p>
    <w:tbl>
      <w:tblPr>
        <w:tblStyle w:val="13"/>
        <w:tblpPr w:leftFromText="180" w:rightFromText="180" w:vertAnchor="text" w:horzAnchor="margin" w:tblpXSpec="center" w:tblpY="81"/>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15B0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516" w:type="dxa"/>
          </w:tcPr>
          <w:p w14:paraId="615CFEB8">
            <w:pPr>
              <w:spacing w:line="400" w:lineRule="exact"/>
              <w:ind w:firstLine="560"/>
              <w:jc w:val="center"/>
              <w:rPr>
                <w:rFonts w:ascii="Times New Roman" w:hAnsi="Times New Roman"/>
                <w:sz w:val="28"/>
                <w:szCs w:val="28"/>
              </w:rPr>
            </w:pPr>
            <w:r>
              <w:rPr>
                <w:rFonts w:ascii="Times New Roman" w:hAnsi="Times New Roman"/>
                <w:sz w:val="28"/>
                <w:szCs w:val="28"/>
              </w:rPr>
              <w:t xml:space="preserve">专栏3 </w:t>
            </w:r>
            <w:r>
              <w:rPr>
                <w:rFonts w:hint="eastAsia" w:ascii="Times New Roman" w:hAnsi="Times New Roman"/>
                <w:sz w:val="28"/>
                <w:szCs w:val="28"/>
              </w:rPr>
              <w:t>“</w:t>
            </w:r>
            <w:r>
              <w:rPr>
                <w:rFonts w:ascii="Times New Roman" w:hAnsi="Times New Roman"/>
                <w:sz w:val="28"/>
                <w:szCs w:val="28"/>
              </w:rPr>
              <w:t>十四五</w:t>
            </w:r>
            <w:r>
              <w:rPr>
                <w:rFonts w:hint="eastAsia" w:ascii="Times New Roman" w:hAnsi="Times New Roman"/>
                <w:sz w:val="28"/>
                <w:szCs w:val="28"/>
              </w:rPr>
              <w:t>”</w:t>
            </w:r>
            <w:r>
              <w:rPr>
                <w:rFonts w:ascii="Times New Roman" w:hAnsi="Times New Roman"/>
                <w:sz w:val="28"/>
                <w:szCs w:val="28"/>
              </w:rPr>
              <w:t>基础网重点项目</w:t>
            </w:r>
          </w:p>
        </w:tc>
      </w:tr>
      <w:tr w14:paraId="6FCC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16" w:type="dxa"/>
          </w:tcPr>
          <w:p w14:paraId="03510C4F">
            <w:pPr>
              <w:spacing w:line="400" w:lineRule="exact"/>
              <w:ind w:firstLine="561"/>
              <w:rPr>
                <w:rFonts w:ascii="Times New Roman" w:hAnsi="Times New Roman"/>
                <w:sz w:val="28"/>
                <w:szCs w:val="28"/>
              </w:rPr>
            </w:pPr>
            <w:r>
              <w:rPr>
                <w:rFonts w:ascii="Times New Roman" w:hAnsi="Times New Roman"/>
                <w:sz w:val="28"/>
                <w:szCs w:val="28"/>
              </w:rPr>
              <w:t>县乡道：加快青龙至十直公路、社坛至大保、保合经马灯坝、屋边至双龙公路、双路连天栈道公路、南毛路（栗子至毛坪接暨龙公路）、南江至栗子、何家坝至太平、仁梁路、双龙至灯塔公路、董家至新立、许明至培观、社坛永兴至兴龙镇公路、双路至莲花、包鸾经飞仙洞到大竹林、许明坪桥至忠县同德、高速公路路口至龙孔镇、仁崇路（仁沙至兴龙镇）、许董路（许明寺至董家）、社坛至保合（高速路路口至保合段）等重要县乡道建设；做好包鸾至涪陵大木旅游公路、树人至农花、八角庙至汀溪、三元至红星接代家凼、仁沙至红星、庙飞路（三元庙坝至董家四角楼）、北岸产业环线灯塔至十直公路等项目的储备。</w:t>
            </w:r>
          </w:p>
          <w:p w14:paraId="79DEADD0">
            <w:pPr>
              <w:spacing w:line="400" w:lineRule="exact"/>
              <w:ind w:firstLine="561"/>
              <w:rPr>
                <w:rFonts w:ascii="Times New Roman" w:hAnsi="Times New Roman"/>
                <w:sz w:val="28"/>
                <w:szCs w:val="28"/>
              </w:rPr>
            </w:pPr>
            <w:r>
              <w:rPr>
                <w:rFonts w:ascii="Times New Roman" w:hAnsi="Times New Roman"/>
                <w:sz w:val="28"/>
                <w:szCs w:val="28"/>
              </w:rPr>
              <w:t xml:space="preserve">农村公路：推进实施通组公路、实施窄路面加宽工程、油返砂改造及单车道改双车道400公里；储备建制村通双车道工程200公里。 </w:t>
            </w:r>
          </w:p>
        </w:tc>
      </w:tr>
    </w:tbl>
    <w:p w14:paraId="1D3F7F2C">
      <w:pPr>
        <w:pStyle w:val="4"/>
        <w:keepNext w:val="0"/>
        <w:keepLines w:val="0"/>
        <w:widowControl w:val="0"/>
        <w:spacing w:beforeLines="0" w:afterLines="0"/>
        <w:ind w:firstLine="640"/>
        <w:rPr>
          <w:rFonts w:eastAsia="方正黑体_GBK"/>
          <w:b w:val="0"/>
          <w:bCs w:val="0"/>
          <w:kern w:val="28"/>
        </w:rPr>
      </w:pPr>
      <w:bookmarkStart w:id="96" w:name="_Toc3487"/>
      <w:r>
        <w:rPr>
          <w:rFonts w:eastAsia="方正黑体_GBK"/>
          <w:b w:val="0"/>
          <w:bCs w:val="0"/>
          <w:kern w:val="28"/>
        </w:rPr>
        <w:t>四、发展大物流，完善货运网</w:t>
      </w:r>
      <w:bookmarkEnd w:id="96"/>
    </w:p>
    <w:p w14:paraId="22EC997C">
      <w:pPr>
        <w:spacing w:line="600" w:lineRule="exact"/>
        <w:ind w:firstLine="640"/>
        <w:rPr>
          <w:rFonts w:ascii="Times New Roman" w:hAnsi="Times New Roman"/>
          <w:szCs w:val="32"/>
        </w:rPr>
      </w:pPr>
      <w:r>
        <w:rPr>
          <w:rFonts w:ascii="Times New Roman" w:hAnsi="Times New Roman"/>
          <w:szCs w:val="32"/>
        </w:rPr>
        <w:t>按照交通强市</w:t>
      </w:r>
      <w:r>
        <w:rPr>
          <w:rFonts w:hint="eastAsia" w:ascii="Times New Roman" w:hAnsi="Times New Roman"/>
          <w:szCs w:val="32"/>
        </w:rPr>
        <w:t>“</w:t>
      </w:r>
      <w:r>
        <w:rPr>
          <w:rFonts w:ascii="Times New Roman" w:hAnsi="Times New Roman"/>
          <w:szCs w:val="32"/>
        </w:rPr>
        <w:t>强枢纽，更好发挥辐射带动作用</w:t>
      </w:r>
      <w:r>
        <w:rPr>
          <w:rFonts w:hint="eastAsia" w:ascii="Times New Roman" w:hAnsi="Times New Roman"/>
          <w:szCs w:val="32"/>
        </w:rPr>
        <w:t>”</w:t>
      </w:r>
      <w:r>
        <w:rPr>
          <w:rFonts w:ascii="Times New Roman" w:hAnsi="Times New Roman"/>
          <w:szCs w:val="32"/>
        </w:rPr>
        <w:t>要求，立足丰都长江干线常年深水良港优势，充分发挥好水天坪作业区枢纽港功能，加快推进航道治理和集疏运通道建设，构建江海直达物流体系，着力打造水上货运物流基地。结合未来广忠黔和沿江铁路等货运铁路规划，提早谋划全县货运枢纽和物流园区体系布局。推进货物运输结构调整，提升多式联运功能，结合丰都产业特色，创新物流服务新模式，打响丰都物流服务</w:t>
      </w:r>
      <w:r>
        <w:rPr>
          <w:rFonts w:hint="eastAsia" w:ascii="Times New Roman" w:hAnsi="Times New Roman"/>
          <w:szCs w:val="32"/>
        </w:rPr>
        <w:t>“</w:t>
      </w:r>
      <w:r>
        <w:rPr>
          <w:rFonts w:ascii="Times New Roman" w:hAnsi="Times New Roman"/>
          <w:szCs w:val="32"/>
        </w:rPr>
        <w:t>特色品牌</w:t>
      </w:r>
      <w:r>
        <w:rPr>
          <w:rFonts w:hint="eastAsia" w:ascii="Times New Roman" w:hAnsi="Times New Roman"/>
          <w:szCs w:val="32"/>
        </w:rPr>
        <w:t>”</w:t>
      </w:r>
      <w:r>
        <w:rPr>
          <w:rFonts w:ascii="Times New Roman" w:hAnsi="Times New Roman"/>
          <w:szCs w:val="32"/>
        </w:rPr>
        <w:t>，构建集约高效的大物流体系，提升集散中转功能，全面支撑优化</w:t>
      </w:r>
      <w:r>
        <w:rPr>
          <w:rFonts w:hint="eastAsia" w:ascii="Times New Roman" w:hAnsi="Times New Roman"/>
          <w:szCs w:val="32"/>
        </w:rPr>
        <w:t>“</w:t>
      </w:r>
      <w:r>
        <w:rPr>
          <w:rFonts w:ascii="Times New Roman" w:hAnsi="Times New Roman"/>
          <w:szCs w:val="32"/>
        </w:rPr>
        <w:t>三区</w:t>
      </w:r>
      <w:r>
        <w:rPr>
          <w:rStyle w:val="15"/>
          <w:rFonts w:eastAsia="方正仿宋_GBK"/>
          <w:szCs w:val="32"/>
        </w:rPr>
        <w:footnoteReference w:id="1"/>
      </w:r>
      <w:r>
        <w:rPr>
          <w:rFonts w:hint="eastAsia" w:ascii="Times New Roman" w:hAnsi="Times New Roman"/>
          <w:szCs w:val="32"/>
        </w:rPr>
        <w:t>”</w:t>
      </w:r>
      <w:r>
        <w:rPr>
          <w:rFonts w:ascii="Times New Roman" w:hAnsi="Times New Roman"/>
          <w:szCs w:val="32"/>
        </w:rPr>
        <w:t>布局。</w:t>
      </w:r>
    </w:p>
    <w:p w14:paraId="10E7D35F">
      <w:pPr>
        <w:spacing w:line="600" w:lineRule="exact"/>
        <w:ind w:firstLine="640" w:firstLineChars="200"/>
        <w:rPr>
          <w:rFonts w:ascii="Times New Roman" w:hAnsi="Times New Roman"/>
          <w:szCs w:val="32"/>
        </w:rPr>
      </w:pPr>
      <w:r>
        <w:rPr>
          <w:rFonts w:ascii="Times New Roman" w:hAnsi="Times New Roman" w:eastAsia="方正楷体_GBK"/>
          <w:szCs w:val="32"/>
        </w:rPr>
        <w:t>（一）打造长江深水港</w:t>
      </w:r>
      <w:r>
        <w:rPr>
          <w:rFonts w:ascii="Times New Roman" w:hAnsi="Times New Roman"/>
          <w:szCs w:val="32"/>
        </w:rPr>
        <w:t>。重点依托丰都水天坪港口和国家一类口岸，构建</w:t>
      </w:r>
      <w:r>
        <w:rPr>
          <w:rFonts w:hint="eastAsia" w:ascii="Times New Roman" w:hAnsi="Times New Roman"/>
          <w:szCs w:val="32"/>
        </w:rPr>
        <w:t>“</w:t>
      </w:r>
      <w:r>
        <w:rPr>
          <w:rFonts w:ascii="Times New Roman" w:hAnsi="Times New Roman"/>
          <w:szCs w:val="32"/>
        </w:rPr>
        <w:t>一主两副多点</w:t>
      </w:r>
      <w:r>
        <w:rPr>
          <w:rFonts w:hint="eastAsia" w:ascii="Times New Roman" w:hAnsi="Times New Roman"/>
          <w:szCs w:val="32"/>
        </w:rPr>
        <w:t>”</w:t>
      </w:r>
      <w:r>
        <w:rPr>
          <w:rFonts w:ascii="Times New Roman" w:hAnsi="Times New Roman"/>
          <w:szCs w:val="32"/>
        </w:rPr>
        <w:t>（一主即水天坪作业区，两副分别为桃源作业区&lt;东方希望码头&gt;和镇江作业区，多点指湛普、绿岛源（汶溪）、玉溪、丁庄等多个作业码头）的货运港口布局体系。其中水天坪作业区规划以多用途、件杂货、载货车滚装、干散货运输功能为主，桃源作业区以干散货、PC构</w:t>
      </w:r>
      <w:r>
        <w:rPr>
          <w:rFonts w:hint="eastAsia" w:ascii="Times New Roman" w:hAnsi="Times New Roman"/>
          <w:szCs w:val="32"/>
        </w:rPr>
        <w:t>件</w:t>
      </w:r>
      <w:r>
        <w:rPr>
          <w:rFonts w:ascii="Times New Roman" w:hAnsi="Times New Roman"/>
          <w:szCs w:val="32"/>
        </w:rPr>
        <w:t>运输为主，镇江作业区以件杂货、干散货以及危化品运输为主。充分发挥水运优势，形成层次分明、分工明确的港口格局。</w:t>
      </w:r>
    </w:p>
    <w:p w14:paraId="209A76B8">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力争开工丰都港区水天坪作业区二期工程，新建5000吨级泊位3个，设计通过能力5.7万吨/TEU，打造长江江海直达货运交通枢纽，完成水天坪作业区一期提升及疏港公路连接线改扩建工程，提升港区集聚辐射能力，远期预留广忠黔和沿江货运铁路的水天坪进港铁路支线，完善水天坪对外开放平台功能配套，争取各联检单位尽早入驻丰都，提升开放能级，充分发挥水天坪港口通江达海作用，强化与渝东南武陵山区城镇群交通物流合作。适时启动桃源和镇江作业区、玉溪码头的升级改造工程，完善水上货运物流体系。</w:t>
      </w:r>
    </w:p>
    <w:p w14:paraId="5BD6304A">
      <w:pPr>
        <w:spacing w:line="600" w:lineRule="exact"/>
        <w:ind w:firstLine="640" w:firstLineChars="200"/>
        <w:rPr>
          <w:rFonts w:ascii="Times New Roman" w:hAnsi="Times New Roman"/>
          <w:szCs w:val="32"/>
        </w:rPr>
      </w:pPr>
      <w:r>
        <w:rPr>
          <w:rFonts w:ascii="Times New Roman" w:hAnsi="Times New Roman" w:eastAsia="方正楷体_GBK"/>
          <w:szCs w:val="32"/>
        </w:rPr>
        <w:t>（二）着力夯实物流平台</w:t>
      </w:r>
      <w:r>
        <w:rPr>
          <w:rFonts w:ascii="Times New Roman" w:hAnsi="Times New Roman"/>
          <w:szCs w:val="32"/>
        </w:rPr>
        <w:t>。加快建设水天坪、丁庄溪和高铁综合物流园、公路物流港、西南食品肉制品交易冷链物流中心等项目，争取渝东北快递物流分拣配送中心落户丰都，谋划启动区域性铁公水联运物流中心、农产品冷链物流中心、应急储备中心。建立全县仓储物流公共信息平台，与生产经营企业、物流企业信息系统实现互联互通。设立保税仓库，促进我县进出口业务发展。</w:t>
      </w:r>
    </w:p>
    <w:p w14:paraId="31375D37">
      <w:pPr>
        <w:spacing w:line="600" w:lineRule="exact"/>
        <w:ind w:firstLine="640" w:firstLineChars="200"/>
        <w:rPr>
          <w:rFonts w:ascii="Times New Roman" w:hAnsi="Times New Roman"/>
          <w:szCs w:val="32"/>
        </w:rPr>
      </w:pPr>
      <w:r>
        <w:rPr>
          <w:rFonts w:ascii="Times New Roman" w:hAnsi="Times New Roman" w:eastAsia="方正楷体_GBK"/>
          <w:szCs w:val="32"/>
        </w:rPr>
        <w:t>（三）大力发展现代物流</w:t>
      </w:r>
      <w:r>
        <w:rPr>
          <w:rFonts w:ascii="Times New Roman" w:hAnsi="Times New Roman"/>
          <w:szCs w:val="32"/>
        </w:rPr>
        <w:t>。</w:t>
      </w:r>
      <w:r>
        <w:rPr>
          <w:rFonts w:ascii="Times New Roman" w:hAnsi="Times New Roman"/>
          <w:kern w:val="0"/>
          <w:szCs w:val="32"/>
        </w:rPr>
        <w:t>创新发展物流服务新模式。积极推广甩挂运输、无车承运人等现代化组织模式，鼓励运输企业规模化、联盟化发展。推进电商物流、冷链物流等专业化物流发展。培育网络货运龙头骨干企业和经营主体，提升资源整合能力，促进网络货运企业规模化发展。推进城市货运配送绿色发展。持续优化城市配送模式，鼓励发展统一配送、集中配送、分时配送等规模化、集约化、网络化的配送模式，推动干线货运与城市配送企业、同城配送企业建立合作联盟，</w:t>
      </w:r>
      <w:r>
        <w:rPr>
          <w:rFonts w:ascii="Times New Roman" w:hAnsi="Times New Roman"/>
          <w:szCs w:val="32"/>
        </w:rPr>
        <w:t>鼓励传统商贸物流企业触网升级，突出发展在线消费、无人配送、数字物流等新业态新模式，</w:t>
      </w:r>
      <w:r>
        <w:rPr>
          <w:rFonts w:ascii="Times New Roman" w:hAnsi="Times New Roman"/>
          <w:kern w:val="0"/>
          <w:szCs w:val="32"/>
        </w:rPr>
        <w:t>推广使用新能源城市配送车辆，深入开展城市绿色货运配送示范工程创建工作。加快推进物流运输装备升级。引导公路货车向大型化、专业化方向发展，提升物流运输效率，实现节能减排发展。完善水运物流体系。创新水水中转、铁水联运、公水联运运输模式，加密水水中转班轮，促进陆水联运、铁海联运和港口协同。</w:t>
      </w:r>
    </w:p>
    <w:p w14:paraId="6DB96284">
      <w:pPr>
        <w:spacing w:line="600" w:lineRule="exact"/>
        <w:ind w:firstLine="640" w:firstLineChars="200"/>
        <w:rPr>
          <w:rFonts w:ascii="Times New Roman" w:hAnsi="Times New Roman"/>
          <w:kern w:val="0"/>
          <w:szCs w:val="32"/>
        </w:rPr>
      </w:pPr>
      <w:r>
        <w:rPr>
          <w:rFonts w:ascii="Times New Roman" w:hAnsi="Times New Roman" w:eastAsia="方正楷体_GBK"/>
          <w:kern w:val="0"/>
          <w:szCs w:val="32"/>
        </w:rPr>
        <w:t>（四）打响丰都物流服务</w:t>
      </w:r>
      <w:r>
        <w:rPr>
          <w:rFonts w:hint="eastAsia" w:ascii="Times New Roman" w:hAnsi="Times New Roman" w:eastAsia="方正楷体_GBK"/>
          <w:kern w:val="0"/>
          <w:szCs w:val="32"/>
        </w:rPr>
        <w:t>“</w:t>
      </w:r>
      <w:r>
        <w:rPr>
          <w:rFonts w:ascii="Times New Roman" w:hAnsi="Times New Roman" w:eastAsia="方正楷体_GBK"/>
          <w:kern w:val="0"/>
          <w:szCs w:val="32"/>
        </w:rPr>
        <w:t>特色品牌</w:t>
      </w:r>
      <w:r>
        <w:rPr>
          <w:rFonts w:hint="eastAsia" w:ascii="Times New Roman" w:hAnsi="Times New Roman" w:eastAsia="方正楷体_GBK"/>
          <w:kern w:val="0"/>
          <w:szCs w:val="32"/>
        </w:rPr>
        <w:t>”</w:t>
      </w:r>
      <w:r>
        <w:rPr>
          <w:rFonts w:ascii="Times New Roman" w:hAnsi="Times New Roman"/>
          <w:kern w:val="0"/>
          <w:szCs w:val="32"/>
        </w:rPr>
        <w:t>。依托水天坪等枢纽港，建设</w:t>
      </w:r>
      <w:r>
        <w:rPr>
          <w:rFonts w:hint="eastAsia" w:ascii="Times New Roman" w:hAnsi="Times New Roman"/>
          <w:kern w:val="0"/>
          <w:szCs w:val="32"/>
        </w:rPr>
        <w:t>“</w:t>
      </w:r>
      <w:r>
        <w:rPr>
          <w:rFonts w:ascii="Times New Roman" w:hAnsi="Times New Roman"/>
          <w:kern w:val="0"/>
          <w:szCs w:val="32"/>
        </w:rPr>
        <w:t>江海直达示范基地</w:t>
      </w:r>
      <w:r>
        <w:rPr>
          <w:rFonts w:hint="eastAsia" w:ascii="Times New Roman" w:hAnsi="Times New Roman"/>
          <w:kern w:val="0"/>
          <w:szCs w:val="32"/>
        </w:rPr>
        <w:t>”</w:t>
      </w:r>
      <w:r>
        <w:rPr>
          <w:rFonts w:ascii="Times New Roman" w:hAnsi="Times New Roman"/>
          <w:kern w:val="0"/>
          <w:szCs w:val="32"/>
        </w:rPr>
        <w:t>，挖掘长江黄金水道运输潜能，加强各种运输方式协调发展和有机衔接，积极开展江海直达船型研发，在港口建设方面，做好未来江海直达设施设备预留，大力引进和发展江海直达市场主体及适运货源，打造陆上运输与水上运输的分拨中心，形成立足长江，辐射西南的江海直达示范基地。打造</w:t>
      </w:r>
      <w:r>
        <w:rPr>
          <w:rFonts w:hint="eastAsia" w:ascii="Times New Roman" w:hAnsi="Times New Roman"/>
          <w:kern w:val="0"/>
          <w:szCs w:val="32"/>
        </w:rPr>
        <w:t>“</w:t>
      </w:r>
      <w:r>
        <w:rPr>
          <w:rFonts w:ascii="Times New Roman" w:hAnsi="Times New Roman"/>
          <w:kern w:val="0"/>
          <w:szCs w:val="32"/>
        </w:rPr>
        <w:t>渝东北冷链物流基地</w:t>
      </w:r>
      <w:r>
        <w:rPr>
          <w:rFonts w:hint="eastAsia" w:ascii="Times New Roman" w:hAnsi="Times New Roman"/>
          <w:kern w:val="0"/>
          <w:szCs w:val="32"/>
        </w:rPr>
        <w:t>”</w:t>
      </w:r>
      <w:r>
        <w:rPr>
          <w:rFonts w:ascii="Times New Roman" w:hAnsi="Times New Roman"/>
          <w:kern w:val="0"/>
          <w:szCs w:val="32"/>
        </w:rPr>
        <w:t>，依托丰都现代</w:t>
      </w:r>
      <w:r>
        <w:rPr>
          <w:rFonts w:ascii="Times New Roman" w:hAnsi="Times New Roman"/>
          <w:spacing w:val="6"/>
          <w:szCs w:val="32"/>
        </w:rPr>
        <w:t>畜禽产业和大健康产业，重点针对肉禽类、农产品、医疗等品类，大力发展冷链物流运输，完善配套冷链运输的场地、设施、设备等产业链建设，</w:t>
      </w:r>
      <w:r>
        <w:rPr>
          <w:rFonts w:ascii="Times New Roman" w:hAnsi="Times New Roman"/>
          <w:kern w:val="0"/>
          <w:szCs w:val="32"/>
        </w:rPr>
        <w:t>探索开展冷链物流船舶，建设冷链冻库，建成物流、仓储、交易、保税中心于一体</w:t>
      </w:r>
      <w:r>
        <w:rPr>
          <w:rFonts w:hint="eastAsia" w:ascii="Times New Roman" w:hAnsi="Times New Roman"/>
          <w:kern w:val="0"/>
          <w:szCs w:val="32"/>
        </w:rPr>
        <w:t>的</w:t>
      </w:r>
      <w:r>
        <w:rPr>
          <w:rFonts w:ascii="Times New Roman" w:hAnsi="Times New Roman"/>
          <w:kern w:val="0"/>
          <w:szCs w:val="32"/>
        </w:rPr>
        <w:t>西南食品肉制品交易冷链物流中心。探索创建</w:t>
      </w:r>
      <w:r>
        <w:rPr>
          <w:rFonts w:hint="eastAsia" w:ascii="Times New Roman" w:hAnsi="Times New Roman"/>
          <w:kern w:val="0"/>
          <w:szCs w:val="32"/>
        </w:rPr>
        <w:t>“</w:t>
      </w:r>
      <w:r>
        <w:rPr>
          <w:rFonts w:ascii="Times New Roman" w:hAnsi="Times New Roman"/>
          <w:kern w:val="0"/>
          <w:szCs w:val="32"/>
        </w:rPr>
        <w:t>PC构件大件运输</w:t>
      </w:r>
      <w:r>
        <w:rPr>
          <w:rFonts w:hint="eastAsia" w:ascii="Times New Roman" w:hAnsi="Times New Roman"/>
          <w:kern w:val="0"/>
          <w:szCs w:val="32"/>
        </w:rPr>
        <w:t>”</w:t>
      </w:r>
      <w:r>
        <w:rPr>
          <w:rFonts w:ascii="Times New Roman" w:hAnsi="Times New Roman"/>
          <w:kern w:val="0"/>
          <w:szCs w:val="32"/>
        </w:rPr>
        <w:t>、</w:t>
      </w:r>
      <w:r>
        <w:rPr>
          <w:rFonts w:hint="eastAsia" w:ascii="Times New Roman" w:hAnsi="Times New Roman"/>
          <w:kern w:val="0"/>
          <w:szCs w:val="32"/>
        </w:rPr>
        <w:t>“</w:t>
      </w:r>
      <w:r>
        <w:rPr>
          <w:rFonts w:ascii="Times New Roman" w:hAnsi="Times New Roman"/>
          <w:kern w:val="0"/>
          <w:szCs w:val="32"/>
        </w:rPr>
        <w:t>绿色装备制造</w:t>
      </w:r>
      <w:r>
        <w:rPr>
          <w:rFonts w:hint="eastAsia" w:ascii="Times New Roman" w:hAnsi="Times New Roman"/>
          <w:kern w:val="0"/>
          <w:szCs w:val="32"/>
        </w:rPr>
        <w:t>”</w:t>
      </w:r>
      <w:r>
        <w:rPr>
          <w:rFonts w:ascii="Times New Roman" w:hAnsi="Times New Roman"/>
          <w:kern w:val="0"/>
          <w:szCs w:val="32"/>
        </w:rPr>
        <w:t>等特色物流服务品牌，重点PC构件、农机装备、环保装备制造等产业，打造全链条、个性化的制造业供应链服务体系。</w:t>
      </w:r>
    </w:p>
    <w:tbl>
      <w:tblPr>
        <w:tblStyle w:val="13"/>
        <w:tblpPr w:leftFromText="180" w:rightFromText="180" w:vertAnchor="text" w:horzAnchor="margin" w:tblpXSpec="center" w:tblpY="462"/>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7430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516" w:type="dxa"/>
          </w:tcPr>
          <w:p w14:paraId="7CF585A7">
            <w:pPr>
              <w:spacing w:line="400" w:lineRule="exact"/>
              <w:ind w:firstLine="560"/>
              <w:jc w:val="center"/>
              <w:rPr>
                <w:rFonts w:ascii="Times New Roman" w:hAnsi="Times New Roman"/>
                <w:sz w:val="28"/>
                <w:szCs w:val="28"/>
              </w:rPr>
            </w:pPr>
            <w:r>
              <w:rPr>
                <w:rFonts w:ascii="Times New Roman" w:hAnsi="Times New Roman"/>
                <w:sz w:val="28"/>
                <w:szCs w:val="28"/>
              </w:rPr>
              <w:t xml:space="preserve">专栏4 </w:t>
            </w:r>
            <w:r>
              <w:rPr>
                <w:rFonts w:hint="eastAsia" w:ascii="Times New Roman" w:hAnsi="Times New Roman"/>
                <w:sz w:val="28"/>
                <w:szCs w:val="28"/>
              </w:rPr>
              <w:t>“</w:t>
            </w:r>
            <w:r>
              <w:rPr>
                <w:rFonts w:ascii="Times New Roman" w:hAnsi="Times New Roman"/>
                <w:sz w:val="28"/>
                <w:szCs w:val="28"/>
              </w:rPr>
              <w:t>十四五</w:t>
            </w:r>
            <w:r>
              <w:rPr>
                <w:rFonts w:hint="eastAsia" w:ascii="Times New Roman" w:hAnsi="Times New Roman"/>
                <w:sz w:val="28"/>
                <w:szCs w:val="28"/>
              </w:rPr>
              <w:t>”</w:t>
            </w:r>
            <w:r>
              <w:rPr>
                <w:rFonts w:ascii="Times New Roman" w:hAnsi="Times New Roman"/>
                <w:sz w:val="28"/>
                <w:szCs w:val="28"/>
              </w:rPr>
              <w:t>货运网重点项目</w:t>
            </w:r>
          </w:p>
        </w:tc>
      </w:tr>
      <w:tr w14:paraId="7B25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8516" w:type="dxa"/>
          </w:tcPr>
          <w:p w14:paraId="0F354576">
            <w:pPr>
              <w:spacing w:line="400" w:lineRule="exact"/>
              <w:ind w:firstLine="562"/>
              <w:rPr>
                <w:rFonts w:ascii="Times New Roman" w:hAnsi="Times New Roman"/>
                <w:sz w:val="28"/>
                <w:szCs w:val="28"/>
              </w:rPr>
            </w:pPr>
            <w:r>
              <w:rPr>
                <w:rFonts w:ascii="Times New Roman" w:hAnsi="Times New Roman"/>
                <w:sz w:val="28"/>
                <w:szCs w:val="28"/>
              </w:rPr>
              <w:t>货运港口：开工建设丰都县水天坪作业区（一期提升及二期建设）、东方希望作业区扩容改造和玉溪码头提升改造项目。做好镇江作业区升级改造、绿岛源码头升级改造（汶溪码头）、湛普货运码头升级改造工程、白沙沱战备码头改造、丁庄货运码头升级改造工程等项目储备。</w:t>
            </w:r>
          </w:p>
        </w:tc>
      </w:tr>
    </w:tbl>
    <w:p w14:paraId="280C9606">
      <w:pPr>
        <w:pStyle w:val="4"/>
        <w:keepNext w:val="0"/>
        <w:keepLines w:val="0"/>
        <w:widowControl w:val="0"/>
        <w:spacing w:beforeLines="0" w:afterLines="0"/>
        <w:ind w:firstLine="640"/>
        <w:rPr>
          <w:rFonts w:eastAsia="方正黑体_GBK"/>
          <w:b w:val="0"/>
          <w:bCs w:val="0"/>
        </w:rPr>
      </w:pPr>
      <w:bookmarkStart w:id="97" w:name="_Toc17454"/>
      <w:r>
        <w:rPr>
          <w:rFonts w:eastAsia="方正黑体_GBK"/>
          <w:b w:val="0"/>
          <w:bCs w:val="0"/>
        </w:rPr>
        <w:t>五、做靓大旅游，提质客运网</w:t>
      </w:r>
      <w:bookmarkEnd w:id="97"/>
    </w:p>
    <w:p w14:paraId="6A15D85D">
      <w:pPr>
        <w:spacing w:line="600" w:lineRule="exact"/>
        <w:ind w:firstLine="640"/>
        <w:rPr>
          <w:rFonts w:ascii="Times New Roman" w:hAnsi="Times New Roman"/>
          <w:szCs w:val="32"/>
        </w:rPr>
      </w:pPr>
      <w:r>
        <w:rPr>
          <w:rFonts w:ascii="Times New Roman" w:hAnsi="Times New Roman"/>
          <w:szCs w:val="32"/>
        </w:rPr>
        <w:t>全力推动人民满意交通建设，健全人性化、便捷化公共客运体系，打造综合性客运枢纽和旅客集散中心，实现多方式零距离换乘，推动构建立体互联的客运体系，促进城乡、区域深度融合发展，不断提升运输服务水平。做强文旅品牌，以</w:t>
      </w:r>
      <w:r>
        <w:rPr>
          <w:rFonts w:hint="eastAsia" w:ascii="Times New Roman" w:hAnsi="Times New Roman"/>
          <w:szCs w:val="32"/>
        </w:rPr>
        <w:t>“</w:t>
      </w:r>
      <w:r>
        <w:rPr>
          <w:rFonts w:ascii="Times New Roman" w:hAnsi="Times New Roman"/>
          <w:szCs w:val="32"/>
        </w:rPr>
        <w:t>休闲度假、文化观光、乡村旅游</w:t>
      </w:r>
      <w:r>
        <w:rPr>
          <w:rFonts w:hint="eastAsia" w:ascii="Times New Roman" w:hAnsi="Times New Roman"/>
          <w:szCs w:val="32"/>
        </w:rPr>
        <w:t>”</w:t>
      </w:r>
      <w:r>
        <w:rPr>
          <w:rFonts w:ascii="Times New Roman" w:hAnsi="Times New Roman"/>
          <w:szCs w:val="32"/>
        </w:rPr>
        <w:t>为主线，助力打造国际知名文化旅游目的地。</w:t>
      </w:r>
    </w:p>
    <w:p w14:paraId="5F25D5DF">
      <w:pPr>
        <w:spacing w:line="600" w:lineRule="exact"/>
        <w:ind w:firstLine="640" w:firstLineChars="200"/>
        <w:rPr>
          <w:rFonts w:ascii="Times New Roman" w:hAnsi="Times New Roman"/>
          <w:szCs w:val="32"/>
        </w:rPr>
      </w:pPr>
      <w:r>
        <w:rPr>
          <w:rFonts w:ascii="Times New Roman" w:hAnsi="Times New Roman" w:eastAsia="方正楷体_GBK"/>
          <w:szCs w:val="32"/>
        </w:rPr>
        <w:t>（一）打造高品质综合客货运枢纽</w:t>
      </w:r>
      <w:r>
        <w:rPr>
          <w:rFonts w:ascii="Times New Roman" w:hAnsi="Times New Roman"/>
          <w:szCs w:val="32"/>
        </w:rPr>
        <w:t>。构建</w:t>
      </w:r>
      <w:r>
        <w:rPr>
          <w:rFonts w:hint="eastAsia" w:ascii="Times New Roman" w:hAnsi="Times New Roman"/>
          <w:szCs w:val="32"/>
        </w:rPr>
        <w:t>“</w:t>
      </w:r>
      <w:r>
        <w:rPr>
          <w:rFonts w:ascii="Times New Roman" w:hAnsi="Times New Roman"/>
          <w:szCs w:val="32"/>
        </w:rPr>
        <w:t>1+2+N</w:t>
      </w:r>
      <w:r>
        <w:rPr>
          <w:rFonts w:hint="eastAsia" w:ascii="Times New Roman" w:hAnsi="Times New Roman"/>
          <w:szCs w:val="32"/>
        </w:rPr>
        <w:t>”</w:t>
      </w:r>
      <w:r>
        <w:rPr>
          <w:rFonts w:ascii="Times New Roman" w:hAnsi="Times New Roman"/>
          <w:szCs w:val="32"/>
        </w:rPr>
        <w:t>的客运枢纽体系。即丰都县客运码头基础设施改造工程（丰都游轮港区建设）（丰都游轮辅港）1个水路客运枢纽，丰都综合交通枢纽（渝利动车站+渝宜高铁站）和渝万高铁站2个铁路客运枢纽，加上丰都县南岸综合客运中心、丰都县北岸综合客运枢纽（高铁北站）、丰都县客运码头基础设施改造工程（丰都游轮港区建设）配套设施等多个公路客运枢纽。</w:t>
      </w:r>
    </w:p>
    <w:p w14:paraId="053D06AD">
      <w:pPr>
        <w:spacing w:line="600" w:lineRule="exact"/>
        <w:ind w:firstLine="640"/>
        <w:rPr>
          <w:rFonts w:ascii="Times New Roman" w:hAnsi="Times New Roman"/>
          <w:szCs w:val="32"/>
        </w:rPr>
      </w:pP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 xml:space="preserve">期间，重点依托名山作业区，高标准高品质建设丰都县客运码头基础设施改造工程（丰都游轮港区建设）（丰都游轮辅港），改造提升旅游客运泊位8个，建设船岸通道及附属设施，年客运能力达150万人，并同步完善游轮辅港水上旅游客运集散和服务中心建设，支撑三峡游轮港城建设。有序推进一批乡镇客运站建设，增加物流、邮政、旅游集散等综合服务功能，实现所有乡镇客运站等级达到4级及以上。依托渝宜高铁、渝万高铁，结合丰都游轮辅港，积极打造南北岸客运枢纽，形成服务邮轮辅港的旅游集散中心，实现水运、公路、城市公交、出租等多种方式形成有效接驳的客运枢纽。 </w:t>
      </w:r>
    </w:p>
    <w:p w14:paraId="0A19BB81">
      <w:pPr>
        <w:spacing w:line="600" w:lineRule="exact"/>
        <w:ind w:firstLine="640" w:firstLineChars="200"/>
        <w:rPr>
          <w:rFonts w:ascii="Times New Roman" w:hAnsi="Times New Roman"/>
          <w:szCs w:val="32"/>
        </w:rPr>
      </w:pPr>
      <w:r>
        <w:rPr>
          <w:rFonts w:ascii="Times New Roman" w:hAnsi="Times New Roman" w:eastAsia="方正楷体_GBK"/>
          <w:szCs w:val="32"/>
        </w:rPr>
        <w:t>（二）着力推动旅游航道发展</w:t>
      </w:r>
      <w:r>
        <w:rPr>
          <w:rFonts w:ascii="Times New Roman" w:hAnsi="Times New Roman"/>
          <w:szCs w:val="32"/>
        </w:rPr>
        <w:t>。规划实施龙河口至雪玉洞航道治理工程18公里，适度延伸三峡库区支流航道通达深度，提升支流航道互联互通水平。高品质打造龙河特色旅游航道，美化河道景观，完善沿线水上旅游支持保障设施。</w:t>
      </w:r>
    </w:p>
    <w:p w14:paraId="2F0A5C4D">
      <w:pPr>
        <w:spacing w:line="600" w:lineRule="exact"/>
        <w:ind w:firstLine="640" w:firstLineChars="200"/>
        <w:rPr>
          <w:rFonts w:ascii="Times New Roman" w:hAnsi="Times New Roman"/>
          <w:szCs w:val="32"/>
        </w:rPr>
      </w:pPr>
      <w:r>
        <w:rPr>
          <w:rFonts w:ascii="Times New Roman" w:hAnsi="Times New Roman" w:eastAsia="方正楷体_GBK"/>
          <w:szCs w:val="32"/>
        </w:rPr>
        <w:t>（三）优先发展城市公交</w:t>
      </w:r>
      <w:r>
        <w:rPr>
          <w:rFonts w:ascii="Times New Roman" w:hAnsi="Times New Roman"/>
          <w:szCs w:val="32"/>
        </w:rPr>
        <w:t>。优化完善公交线网。优化新增干次支路公交线路，城区公交500米站点覆盖率100%；服务各园区、风景区等城镇化的加快发展与客流需求，稳步推进城乡公交和定制公交新业态。加快建设公交站台。合理布局公交站台，按港湾式、普通站台、简易站台等方式建设，打造便捷舒适的公共交通站台。规划建设公交首末站，含停车场、洗车场及配套办公用房、应急充电桩（龙城华府和斜南溪各1个）。同时，在城区探索推进公交站场综合利用，对有条件的公交站场实施综合利用。科学配置公交运力。不断增加公交运力规模，推进公交智能调度系统建设，灵活采用区间车、大站快车、单向快车、定时发车等调度方式，匹配多样化的公交出行需求。科学投放出租车运力。深化出租汽车行业改革，提升出租汽车服务品质，推进巡游出租汽车与网络约租车的错位发展和差异性经营。制定科学合理的出租汽车投放机制，根据市场需求择机实施投放。</w:t>
      </w:r>
    </w:p>
    <w:p w14:paraId="1847FB8F">
      <w:pPr>
        <w:spacing w:line="600" w:lineRule="exact"/>
        <w:ind w:firstLine="640" w:firstLineChars="200"/>
        <w:rPr>
          <w:rFonts w:ascii="Times New Roman" w:hAnsi="Times New Roman"/>
          <w:szCs w:val="32"/>
        </w:rPr>
      </w:pPr>
      <w:r>
        <w:rPr>
          <w:rFonts w:ascii="Times New Roman" w:hAnsi="Times New Roman" w:eastAsia="方正楷体_GBK"/>
          <w:szCs w:val="32"/>
        </w:rPr>
        <w:t>（四）推进客运转型升级</w:t>
      </w:r>
      <w:r>
        <w:rPr>
          <w:rFonts w:ascii="Times New Roman" w:hAnsi="Times New Roman"/>
          <w:szCs w:val="32"/>
        </w:rPr>
        <w:t>。优化客运服务结构。针对高铁沿线的班线客运线路，逐步减少运力投放。优化班线客运线路、运力配置与时刻安排，加强班线客运与航空、高铁、城市公交的互补衔接，充分发挥公路客运</w:t>
      </w:r>
      <w:r>
        <w:rPr>
          <w:rFonts w:hint="eastAsia" w:ascii="Times New Roman" w:hAnsi="Times New Roman"/>
          <w:szCs w:val="32"/>
        </w:rPr>
        <w:t>“</w:t>
      </w:r>
      <w:r>
        <w:rPr>
          <w:rFonts w:ascii="Times New Roman" w:hAnsi="Times New Roman"/>
          <w:szCs w:val="32"/>
        </w:rPr>
        <w:t>门到门</w:t>
      </w:r>
      <w:r>
        <w:rPr>
          <w:rFonts w:hint="eastAsia" w:ascii="Times New Roman" w:hAnsi="Times New Roman"/>
          <w:szCs w:val="32"/>
        </w:rPr>
        <w:t>”</w:t>
      </w:r>
      <w:r>
        <w:rPr>
          <w:rFonts w:ascii="Times New Roman" w:hAnsi="Times New Roman"/>
          <w:szCs w:val="32"/>
        </w:rPr>
        <w:t>优势，大力发展包车客运、旅游客运、精品班线、机场快线、高铁快线、商务快客、短途接驳等特色客运业务。推动交通旅游深度融合。高品质建设房车营地，强化客运枢纽、公路服务设施的旅游功能，推动旅游专列、旅游风景道等发展。积极推动</w:t>
      </w:r>
      <w:r>
        <w:rPr>
          <w:rFonts w:hint="eastAsia" w:ascii="Times New Roman" w:hAnsi="Times New Roman"/>
          <w:szCs w:val="32"/>
        </w:rPr>
        <w:t>“</w:t>
      </w:r>
      <w:r>
        <w:rPr>
          <w:rFonts w:ascii="Times New Roman" w:hAnsi="Times New Roman"/>
          <w:szCs w:val="32"/>
        </w:rPr>
        <w:t>站运游</w:t>
      </w:r>
      <w:r>
        <w:rPr>
          <w:rFonts w:hint="eastAsia" w:ascii="Times New Roman" w:hAnsi="Times New Roman"/>
          <w:szCs w:val="32"/>
        </w:rPr>
        <w:t>”</w:t>
      </w:r>
      <w:r>
        <w:rPr>
          <w:rFonts w:ascii="Times New Roman" w:hAnsi="Times New Roman"/>
          <w:szCs w:val="32"/>
        </w:rPr>
        <w:t>一体化，进一步发展</w:t>
      </w:r>
      <w:r>
        <w:rPr>
          <w:rFonts w:hint="eastAsia" w:ascii="Times New Roman" w:hAnsi="Times New Roman"/>
          <w:szCs w:val="32"/>
        </w:rPr>
        <w:t>“</w:t>
      </w:r>
      <w:r>
        <w:rPr>
          <w:rFonts w:ascii="Times New Roman" w:hAnsi="Times New Roman"/>
          <w:szCs w:val="32"/>
        </w:rPr>
        <w:t>景区直通车</w:t>
      </w:r>
      <w:r>
        <w:rPr>
          <w:rFonts w:hint="eastAsia" w:ascii="Times New Roman" w:hAnsi="Times New Roman"/>
          <w:szCs w:val="32"/>
        </w:rPr>
        <w:t>”</w:t>
      </w:r>
      <w:r>
        <w:rPr>
          <w:rFonts w:ascii="Times New Roman" w:hAnsi="Times New Roman"/>
          <w:szCs w:val="32"/>
        </w:rPr>
        <w:t>、旅游专线，依托特色游轮辅港、农畜产业、养生度假、鬼城文化等开展产业体验专线。推动旅客联程运输。鼓励不同运输方式站场互设自动售（取）票设施，在公交、出租汽车、长途客运等领域扩大信息服务覆盖面，积极探索旅客联程运输电子客票，打造</w:t>
      </w:r>
      <w:r>
        <w:rPr>
          <w:rFonts w:hint="eastAsia" w:ascii="Times New Roman" w:hAnsi="Times New Roman"/>
          <w:szCs w:val="32"/>
        </w:rPr>
        <w:t>“</w:t>
      </w:r>
      <w:r>
        <w:rPr>
          <w:rFonts w:ascii="Times New Roman" w:hAnsi="Times New Roman"/>
          <w:szCs w:val="32"/>
        </w:rPr>
        <w:t>一票到家</w:t>
      </w:r>
      <w:r>
        <w:rPr>
          <w:rFonts w:hint="eastAsia" w:ascii="Times New Roman" w:hAnsi="Times New Roman"/>
          <w:szCs w:val="32"/>
        </w:rPr>
        <w:t>”</w:t>
      </w:r>
      <w:r>
        <w:rPr>
          <w:rFonts w:ascii="Times New Roman" w:hAnsi="Times New Roman"/>
          <w:szCs w:val="32"/>
        </w:rPr>
        <w:t>的全程出行链服务，提升公众出行服务品质。构建武陵山片区大旅游环线。联合武隆、彭水、石柱等发展武陵山区发展大旅游环线，推动区域旅游联动发展，形成区域旅游产业环线。</w:t>
      </w:r>
    </w:p>
    <w:tbl>
      <w:tblPr>
        <w:tblStyle w:val="13"/>
        <w:tblpPr w:leftFromText="180" w:rightFromText="180" w:vertAnchor="text" w:horzAnchor="margin" w:tblpXSpec="center" w:tblpY="462"/>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1199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516" w:type="dxa"/>
          </w:tcPr>
          <w:p w14:paraId="7DF1AB07">
            <w:pPr>
              <w:spacing w:line="400" w:lineRule="exact"/>
              <w:ind w:firstLine="560"/>
              <w:jc w:val="center"/>
              <w:rPr>
                <w:rFonts w:ascii="Times New Roman" w:hAnsi="Times New Roman"/>
                <w:sz w:val="28"/>
                <w:szCs w:val="28"/>
              </w:rPr>
            </w:pPr>
            <w:r>
              <w:rPr>
                <w:rFonts w:ascii="Times New Roman" w:hAnsi="Times New Roman"/>
                <w:sz w:val="28"/>
                <w:szCs w:val="28"/>
              </w:rPr>
              <w:t xml:space="preserve">专栏5 </w:t>
            </w:r>
            <w:r>
              <w:rPr>
                <w:rFonts w:hint="eastAsia" w:ascii="Times New Roman" w:hAnsi="Times New Roman"/>
                <w:sz w:val="28"/>
                <w:szCs w:val="28"/>
              </w:rPr>
              <w:t>“</w:t>
            </w:r>
            <w:r>
              <w:rPr>
                <w:rFonts w:ascii="Times New Roman" w:hAnsi="Times New Roman"/>
                <w:sz w:val="28"/>
                <w:szCs w:val="28"/>
              </w:rPr>
              <w:t>十四五</w:t>
            </w:r>
            <w:r>
              <w:rPr>
                <w:rFonts w:hint="eastAsia" w:ascii="Times New Roman" w:hAnsi="Times New Roman"/>
                <w:sz w:val="28"/>
                <w:szCs w:val="28"/>
              </w:rPr>
              <w:t>”</w:t>
            </w:r>
            <w:r>
              <w:rPr>
                <w:rFonts w:ascii="Times New Roman" w:hAnsi="Times New Roman"/>
                <w:sz w:val="28"/>
                <w:szCs w:val="28"/>
              </w:rPr>
              <w:t>客运网重点项目</w:t>
            </w:r>
          </w:p>
        </w:tc>
      </w:tr>
      <w:tr w14:paraId="0542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8516" w:type="dxa"/>
          </w:tcPr>
          <w:p w14:paraId="14D51637">
            <w:pPr>
              <w:spacing w:line="400" w:lineRule="exact"/>
              <w:ind w:firstLine="562"/>
              <w:rPr>
                <w:rFonts w:ascii="Times New Roman" w:hAnsi="Times New Roman"/>
                <w:sz w:val="28"/>
                <w:szCs w:val="28"/>
              </w:rPr>
            </w:pPr>
            <w:r>
              <w:rPr>
                <w:rFonts w:ascii="Times New Roman" w:hAnsi="Times New Roman"/>
                <w:sz w:val="28"/>
                <w:szCs w:val="28"/>
              </w:rPr>
              <w:t>客运枢纽：加快丰都县客运码头基础设施改造工程（丰都游轮港区建设）配套设施建设，争取尽快完工；推进丰都县南岸综合客运中心建设；完成丰都县北岸综合客运枢纽（高铁北站）前期工作。</w:t>
            </w:r>
          </w:p>
          <w:p w14:paraId="72F9E61E">
            <w:pPr>
              <w:spacing w:line="400" w:lineRule="exact"/>
              <w:ind w:firstLine="562"/>
              <w:rPr>
                <w:rFonts w:ascii="Times New Roman" w:hAnsi="Times New Roman"/>
                <w:sz w:val="28"/>
                <w:szCs w:val="28"/>
              </w:rPr>
            </w:pPr>
            <w:r>
              <w:rPr>
                <w:rFonts w:ascii="Times New Roman" w:hAnsi="Times New Roman"/>
                <w:sz w:val="28"/>
                <w:szCs w:val="28"/>
              </w:rPr>
              <w:t>客运港口：加快丰都县客运码头基础设施改造工程（丰都游轮港区建设）。</w:t>
            </w:r>
          </w:p>
          <w:p w14:paraId="5325188E">
            <w:pPr>
              <w:spacing w:line="400" w:lineRule="exact"/>
              <w:ind w:firstLine="562"/>
              <w:rPr>
                <w:rFonts w:ascii="Times New Roman" w:hAnsi="Times New Roman"/>
                <w:sz w:val="28"/>
                <w:szCs w:val="28"/>
              </w:rPr>
            </w:pPr>
            <w:r>
              <w:rPr>
                <w:rFonts w:ascii="Times New Roman" w:hAnsi="Times New Roman"/>
                <w:sz w:val="28"/>
                <w:szCs w:val="28"/>
              </w:rPr>
              <w:t>航道整治：推进实施龙河口至雪玉洞航道治理工程。</w:t>
            </w:r>
          </w:p>
          <w:p w14:paraId="3D5DBFEE">
            <w:pPr>
              <w:spacing w:line="400" w:lineRule="exact"/>
              <w:ind w:firstLine="562"/>
              <w:rPr>
                <w:rFonts w:ascii="Times New Roman" w:hAnsi="Times New Roman"/>
                <w:sz w:val="28"/>
                <w:szCs w:val="28"/>
              </w:rPr>
            </w:pPr>
            <w:r>
              <w:rPr>
                <w:rFonts w:ascii="Times New Roman" w:hAnsi="Times New Roman"/>
                <w:sz w:val="28"/>
                <w:szCs w:val="28"/>
              </w:rPr>
              <w:t>公交站场：完善丰都公交站台建设，规划建设港湾式停靠站。做好丰都公交首末站项目储备。</w:t>
            </w:r>
          </w:p>
        </w:tc>
      </w:tr>
    </w:tbl>
    <w:p w14:paraId="687DBEB9">
      <w:pPr>
        <w:pStyle w:val="4"/>
        <w:keepNext w:val="0"/>
        <w:keepLines w:val="0"/>
        <w:widowControl w:val="0"/>
        <w:spacing w:beforeLines="0" w:afterLines="0"/>
        <w:ind w:firstLine="640"/>
        <w:rPr>
          <w:rFonts w:eastAsia="方正黑体_GBK"/>
          <w:b w:val="0"/>
          <w:bCs w:val="0"/>
          <w:kern w:val="28"/>
        </w:rPr>
      </w:pPr>
      <w:bookmarkStart w:id="98" w:name="_Toc5067"/>
      <w:r>
        <w:rPr>
          <w:rFonts w:eastAsia="方正黑体_GBK"/>
          <w:b w:val="0"/>
          <w:bCs w:val="0"/>
          <w:kern w:val="28"/>
        </w:rPr>
        <w:t>六、立足新基建，打造智慧交通</w:t>
      </w:r>
      <w:bookmarkEnd w:id="98"/>
    </w:p>
    <w:p w14:paraId="42B011C4">
      <w:pPr>
        <w:spacing w:line="600" w:lineRule="exact"/>
        <w:ind w:firstLine="640"/>
        <w:rPr>
          <w:rFonts w:ascii="Times New Roman" w:hAnsi="Times New Roman"/>
          <w:szCs w:val="32"/>
        </w:rPr>
      </w:pPr>
      <w:r>
        <w:rPr>
          <w:rFonts w:ascii="Times New Roman" w:hAnsi="Times New Roman"/>
          <w:szCs w:val="32"/>
        </w:rPr>
        <w:t>深入推进以大数据智能化为引领的科技创新，以新型智慧交通基础设施、大数据创新应用和新技术示范应用为突破口，立足新基建，应用先进信息技术，逐步提升交通行业数字化、自动化、智能化水平，打造智慧交通，实现科技赋能。</w:t>
      </w:r>
    </w:p>
    <w:p w14:paraId="2FFEA5DF">
      <w:pPr>
        <w:spacing w:line="600" w:lineRule="exact"/>
        <w:ind w:firstLine="640" w:firstLineChars="200"/>
        <w:rPr>
          <w:rFonts w:ascii="Times New Roman" w:hAnsi="Times New Roman"/>
          <w:szCs w:val="32"/>
        </w:rPr>
      </w:pPr>
      <w:r>
        <w:rPr>
          <w:rFonts w:ascii="Times New Roman" w:hAnsi="Times New Roman" w:eastAsia="方正楷体_GBK"/>
          <w:szCs w:val="32"/>
        </w:rPr>
        <w:t>（一）加快信息平台建设</w:t>
      </w:r>
      <w:r>
        <w:rPr>
          <w:rFonts w:ascii="Times New Roman" w:hAnsi="Times New Roman"/>
          <w:szCs w:val="32"/>
        </w:rPr>
        <w:t>。加快智慧交通系统（一期工程）建设，</w:t>
      </w:r>
      <w:r>
        <w:rPr>
          <w:rFonts w:ascii="Times New Roman" w:hAnsi="Times New Roman"/>
          <w:kern w:val="0"/>
          <w:szCs w:val="32"/>
        </w:rPr>
        <w:t>收集、处理货物实时数据，</w:t>
      </w:r>
      <w:r>
        <w:rPr>
          <w:rFonts w:ascii="Times New Roman" w:hAnsi="Times New Roman"/>
          <w:szCs w:val="32"/>
        </w:rPr>
        <w:t>融合公路桥梁运行安全监控、公路水路运输安全检测、路产路权维护、超限超载监控、交通应急等功能，</w:t>
      </w:r>
      <w:r>
        <w:rPr>
          <w:rFonts w:ascii="Times New Roman" w:hAnsi="Times New Roman"/>
          <w:kern w:val="0"/>
          <w:szCs w:val="32"/>
        </w:rPr>
        <w:t>监控运输车辆、船舶营运动态、显示货物仓储、调运实时数据等信息，实现物流信息化。</w:t>
      </w:r>
      <w:r>
        <w:rPr>
          <w:rFonts w:ascii="Times New Roman" w:hAnsi="Times New Roman"/>
          <w:szCs w:val="32"/>
        </w:rPr>
        <w:t>加快构建</w:t>
      </w:r>
      <w:r>
        <w:rPr>
          <w:rFonts w:hint="eastAsia" w:ascii="Times New Roman" w:hAnsi="Times New Roman"/>
          <w:szCs w:val="32"/>
        </w:rPr>
        <w:t>“</w:t>
      </w:r>
      <w:r>
        <w:rPr>
          <w:rFonts w:ascii="Times New Roman" w:hAnsi="Times New Roman"/>
          <w:szCs w:val="32"/>
        </w:rPr>
        <w:t>通道+网络</w:t>
      </w:r>
      <w:r>
        <w:rPr>
          <w:rFonts w:hint="eastAsia" w:ascii="Times New Roman" w:hAnsi="Times New Roman"/>
          <w:szCs w:val="32"/>
        </w:rPr>
        <w:t>”</w:t>
      </w:r>
      <w:r>
        <w:rPr>
          <w:rFonts w:ascii="Times New Roman" w:hAnsi="Times New Roman"/>
          <w:szCs w:val="32"/>
        </w:rPr>
        <w:t>的全链条物流体系。</w:t>
      </w:r>
    </w:p>
    <w:p w14:paraId="4DDBC464">
      <w:pPr>
        <w:spacing w:line="600" w:lineRule="exact"/>
        <w:ind w:firstLine="640" w:firstLineChars="200"/>
        <w:rPr>
          <w:rFonts w:ascii="Times New Roman" w:hAnsi="Times New Roman"/>
        </w:rPr>
      </w:pPr>
      <w:r>
        <w:rPr>
          <w:rFonts w:ascii="Times New Roman" w:hAnsi="Times New Roman" w:eastAsia="方正楷体_GBK"/>
          <w:szCs w:val="32"/>
        </w:rPr>
        <w:t>（二）加快信息支持系统建设</w:t>
      </w:r>
      <w:r>
        <w:rPr>
          <w:rFonts w:ascii="Times New Roman" w:hAnsi="Times New Roman"/>
          <w:szCs w:val="32"/>
        </w:rPr>
        <w:t>。</w:t>
      </w:r>
      <w:r>
        <w:rPr>
          <w:rFonts w:ascii="Times New Roman" w:hAnsi="Times New Roman"/>
          <w:kern w:val="0"/>
          <w:szCs w:val="32"/>
        </w:rPr>
        <w:t>紧紧围绕</w:t>
      </w:r>
      <w:r>
        <w:rPr>
          <w:rFonts w:hint="eastAsia" w:ascii="Times New Roman" w:hAnsi="Times New Roman"/>
          <w:kern w:val="0"/>
          <w:szCs w:val="32"/>
        </w:rPr>
        <w:t>“</w:t>
      </w:r>
      <w:r>
        <w:rPr>
          <w:rFonts w:ascii="Times New Roman" w:hAnsi="Times New Roman"/>
          <w:kern w:val="0"/>
          <w:szCs w:val="32"/>
        </w:rPr>
        <w:t>智慧运输、智慧建设、智慧监管、智慧应急</w:t>
      </w:r>
      <w:r>
        <w:rPr>
          <w:rFonts w:hint="eastAsia" w:ascii="Times New Roman" w:hAnsi="Times New Roman"/>
          <w:kern w:val="0"/>
          <w:szCs w:val="32"/>
        </w:rPr>
        <w:t>”</w:t>
      </w:r>
      <w:r>
        <w:rPr>
          <w:rFonts w:ascii="Times New Roman" w:hAnsi="Times New Roman"/>
          <w:kern w:val="0"/>
          <w:szCs w:val="32"/>
        </w:rPr>
        <w:t>等内容，完成全县交通政务信息系统上云，提升集约化建设、应用水平。积极开展智慧交通系统（二期工程）前期工作，规划建设丰都县智慧交通综合系统，含公路桥梁运行安全监控、公路水路运输安全检测、路产路权维护、超限超载监控、交通应急等功能，推动数据融通，深化数据利用，提高数据安全管控。</w:t>
      </w:r>
    </w:p>
    <w:tbl>
      <w:tblPr>
        <w:tblStyle w:val="13"/>
        <w:tblpPr w:leftFromText="180" w:rightFromText="180" w:vertAnchor="text" w:horzAnchor="page" w:tblpX="1837" w:tblpY="22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15E1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8516" w:type="dxa"/>
          </w:tcPr>
          <w:p w14:paraId="3BDA14FD">
            <w:pPr>
              <w:spacing w:line="400" w:lineRule="exact"/>
              <w:ind w:firstLine="560"/>
              <w:jc w:val="center"/>
              <w:rPr>
                <w:rFonts w:ascii="Times New Roman" w:hAnsi="Times New Roman"/>
                <w:sz w:val="28"/>
                <w:szCs w:val="28"/>
              </w:rPr>
            </w:pPr>
            <w:r>
              <w:rPr>
                <w:rFonts w:ascii="Times New Roman" w:hAnsi="Times New Roman"/>
                <w:sz w:val="28"/>
                <w:szCs w:val="28"/>
              </w:rPr>
              <w:t xml:space="preserve">专栏6 </w:t>
            </w:r>
            <w:r>
              <w:rPr>
                <w:rFonts w:hint="eastAsia" w:ascii="Times New Roman" w:hAnsi="Times New Roman"/>
                <w:sz w:val="28"/>
                <w:szCs w:val="28"/>
              </w:rPr>
              <w:t>“</w:t>
            </w:r>
            <w:r>
              <w:rPr>
                <w:rFonts w:ascii="Times New Roman" w:hAnsi="Times New Roman"/>
                <w:sz w:val="28"/>
                <w:szCs w:val="28"/>
              </w:rPr>
              <w:t>十四五</w:t>
            </w:r>
            <w:r>
              <w:rPr>
                <w:rFonts w:hint="eastAsia" w:ascii="Times New Roman" w:hAnsi="Times New Roman"/>
                <w:sz w:val="28"/>
                <w:szCs w:val="28"/>
              </w:rPr>
              <w:t>”</w:t>
            </w:r>
            <w:r>
              <w:rPr>
                <w:rFonts w:ascii="Times New Roman" w:hAnsi="Times New Roman"/>
                <w:sz w:val="28"/>
                <w:szCs w:val="28"/>
              </w:rPr>
              <w:t>智慧交通重点项目</w:t>
            </w:r>
          </w:p>
        </w:tc>
      </w:tr>
      <w:tr w14:paraId="647F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8516" w:type="dxa"/>
          </w:tcPr>
          <w:p w14:paraId="4E90CB64">
            <w:pPr>
              <w:spacing w:line="400" w:lineRule="exact"/>
              <w:ind w:firstLine="562"/>
              <w:rPr>
                <w:rFonts w:ascii="Times New Roman" w:hAnsi="Times New Roman"/>
                <w:sz w:val="28"/>
                <w:szCs w:val="28"/>
              </w:rPr>
            </w:pPr>
            <w:r>
              <w:rPr>
                <w:rFonts w:ascii="Times New Roman" w:hAnsi="Times New Roman"/>
                <w:sz w:val="28"/>
                <w:szCs w:val="28"/>
              </w:rPr>
              <w:t>智慧交通：建设智慧交通（一期工程），建立智慧交通系统，将超限超载监控、交通应急等功能纳入。做好智慧交通（二期工程）项目储备，进一步完善系统，将公路桥梁运行安全、公路水路运输安全、路产路权维护等功能纳入。</w:t>
            </w:r>
          </w:p>
        </w:tc>
      </w:tr>
    </w:tbl>
    <w:p w14:paraId="073CDF9B">
      <w:pPr>
        <w:spacing w:line="600" w:lineRule="exact"/>
        <w:ind w:firstLine="640" w:firstLineChars="200"/>
        <w:rPr>
          <w:rFonts w:ascii="Times New Roman" w:hAnsi="Times New Roman"/>
          <w:szCs w:val="32"/>
        </w:rPr>
      </w:pPr>
      <w:r>
        <w:rPr>
          <w:rFonts w:ascii="Times New Roman" w:hAnsi="Times New Roman" w:eastAsia="方正楷体_GBK"/>
          <w:szCs w:val="32"/>
        </w:rPr>
        <w:t>（三）加强数据融合共享</w:t>
      </w:r>
      <w:r>
        <w:rPr>
          <w:rFonts w:ascii="Times New Roman" w:hAnsi="Times New Roman"/>
          <w:szCs w:val="32"/>
        </w:rPr>
        <w:t>。</w:t>
      </w:r>
      <w:r>
        <w:rPr>
          <w:rFonts w:ascii="Times New Roman" w:hAnsi="Times New Roman"/>
          <w:kern w:val="0"/>
          <w:szCs w:val="32"/>
        </w:rPr>
        <w:t>积极开发利用智慧交通系统，加强客货运输、基础设施、行业监测、执法等多方式多元化数据资源整合和</w:t>
      </w:r>
      <w:r>
        <w:rPr>
          <w:rFonts w:ascii="Times New Roman" w:hAnsi="Times New Roman"/>
          <w:szCs w:val="32"/>
        </w:rPr>
        <w:t>互通互用，</w:t>
      </w:r>
      <w:r>
        <w:rPr>
          <w:rFonts w:ascii="Times New Roman" w:hAnsi="Times New Roman"/>
          <w:kern w:val="0"/>
          <w:szCs w:val="32"/>
        </w:rPr>
        <w:t>探索</w:t>
      </w:r>
      <w:r>
        <w:rPr>
          <w:rFonts w:ascii="Times New Roman" w:hAnsi="Times New Roman"/>
          <w:szCs w:val="32"/>
        </w:rPr>
        <w:t>建设交通运输数据资源共享交换功能，</w:t>
      </w:r>
      <w:r>
        <w:rPr>
          <w:rFonts w:ascii="Times New Roman" w:hAnsi="Times New Roman"/>
          <w:kern w:val="0"/>
          <w:szCs w:val="32"/>
        </w:rPr>
        <w:t>积极推动</w:t>
      </w:r>
      <w:r>
        <w:rPr>
          <w:rFonts w:ascii="Times New Roman" w:hAnsi="Times New Roman"/>
          <w:szCs w:val="32"/>
        </w:rPr>
        <w:t>促进政企数据对接融合，切实提升行业治理管理水平和</w:t>
      </w:r>
      <w:r>
        <w:rPr>
          <w:rFonts w:ascii="Times New Roman" w:hAnsi="Times New Roman"/>
          <w:kern w:val="0"/>
          <w:szCs w:val="32"/>
        </w:rPr>
        <w:t>创新运输服务模式。</w:t>
      </w:r>
    </w:p>
    <w:p w14:paraId="47AC1CE3">
      <w:pPr>
        <w:pStyle w:val="4"/>
        <w:keepNext w:val="0"/>
        <w:keepLines w:val="0"/>
        <w:widowControl w:val="0"/>
        <w:spacing w:beforeLines="0" w:afterLines="0"/>
        <w:ind w:firstLine="640"/>
        <w:rPr>
          <w:rFonts w:eastAsia="方正黑体_GBK"/>
          <w:b w:val="0"/>
          <w:bCs w:val="0"/>
          <w:kern w:val="28"/>
        </w:rPr>
      </w:pPr>
      <w:bookmarkStart w:id="99" w:name="_Toc21389"/>
      <w:r>
        <w:rPr>
          <w:rFonts w:eastAsia="方正黑体_GBK"/>
          <w:b w:val="0"/>
          <w:bCs w:val="0"/>
          <w:kern w:val="28"/>
        </w:rPr>
        <w:t>七、着力优治理，创建满意交通</w:t>
      </w:r>
      <w:bookmarkEnd w:id="99"/>
    </w:p>
    <w:p w14:paraId="08E38A4F">
      <w:pPr>
        <w:spacing w:line="600" w:lineRule="exact"/>
        <w:ind w:firstLine="640"/>
        <w:rPr>
          <w:rFonts w:ascii="Times New Roman" w:hAnsi="Times New Roman"/>
          <w:szCs w:val="32"/>
        </w:rPr>
      </w:pPr>
      <w:r>
        <w:rPr>
          <w:rFonts w:ascii="Times New Roman" w:hAnsi="Times New Roman"/>
          <w:szCs w:val="32"/>
        </w:rPr>
        <w:t>按照交通强市</w:t>
      </w:r>
      <w:r>
        <w:rPr>
          <w:rFonts w:hint="eastAsia" w:ascii="Times New Roman" w:hAnsi="Times New Roman"/>
          <w:szCs w:val="32"/>
        </w:rPr>
        <w:t>“</w:t>
      </w:r>
      <w:r>
        <w:rPr>
          <w:rFonts w:ascii="Times New Roman" w:hAnsi="Times New Roman"/>
          <w:szCs w:val="32"/>
        </w:rPr>
        <w:t>强治理，全力提升行业管理水平</w:t>
      </w:r>
      <w:r>
        <w:rPr>
          <w:rFonts w:hint="eastAsia" w:ascii="Times New Roman" w:hAnsi="Times New Roman"/>
          <w:szCs w:val="32"/>
        </w:rPr>
        <w:t>”</w:t>
      </w:r>
      <w:r>
        <w:rPr>
          <w:rFonts w:ascii="Times New Roman" w:hAnsi="Times New Roman"/>
          <w:szCs w:val="32"/>
        </w:rPr>
        <w:t>要求，围绕安全、绿色、环保和文明服务，加强公路养护管理，加强行业安全监管，强化文明服务，贯彻共抓大保护、不搞大开发方针，加强绿色发展和环境保护，打造人民满意交通。</w:t>
      </w:r>
    </w:p>
    <w:p w14:paraId="79934A54">
      <w:pPr>
        <w:spacing w:line="600" w:lineRule="exact"/>
        <w:ind w:firstLine="640" w:firstLineChars="200"/>
        <w:rPr>
          <w:rFonts w:ascii="Times New Roman" w:hAnsi="Times New Roman"/>
          <w:szCs w:val="32"/>
        </w:rPr>
      </w:pPr>
      <w:r>
        <w:rPr>
          <w:rFonts w:ascii="Times New Roman" w:hAnsi="Times New Roman" w:eastAsia="方正楷体_GBK"/>
          <w:szCs w:val="32"/>
        </w:rPr>
        <w:t>（一）深化养护管理体制改革</w:t>
      </w:r>
      <w:r>
        <w:rPr>
          <w:rFonts w:ascii="Times New Roman" w:hAnsi="Times New Roman"/>
          <w:szCs w:val="32"/>
        </w:rPr>
        <w:t>。全面实施路长制，积极扩大公路预防性养护范围，加强国省县乡道日常养护和养护站房的建设。加强航道维护性疏浚、清障扫床、整治建筑物维护、航道设施保养维修等领域，强化航道管理机构在航道应急抢通、航道巡查、航标巡查与调整等领域的专业化养护和保障能力，加强测绘能力建设。加强市场信用管理，强化对养护工程市场化主体监管，引导培育养护市场健康发展。</w:t>
      </w:r>
    </w:p>
    <w:p w14:paraId="04E7FF37">
      <w:pPr>
        <w:spacing w:line="600" w:lineRule="exact"/>
        <w:ind w:firstLine="640" w:firstLineChars="200"/>
        <w:rPr>
          <w:rFonts w:ascii="Times New Roman" w:hAnsi="Times New Roman"/>
          <w:szCs w:val="32"/>
        </w:rPr>
      </w:pPr>
      <w:r>
        <w:rPr>
          <w:rFonts w:ascii="Times New Roman" w:hAnsi="Times New Roman" w:eastAsia="方正楷体_GBK"/>
          <w:szCs w:val="32"/>
        </w:rPr>
        <w:t>（二）强化交通安全基础设施维护和行业监管</w:t>
      </w:r>
      <w:r>
        <w:rPr>
          <w:rFonts w:ascii="Times New Roman" w:hAnsi="Times New Roman"/>
          <w:szCs w:val="32"/>
        </w:rPr>
        <w:t>。</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期间，规划实施公路安防设施工程及危桥改造等项目，乡道及以上公路安全隐患计划完成率100%。同时，建立常态化巡查机制，深化运输结构调整，将公路客运重点放在短距离、</w:t>
      </w:r>
      <w:r>
        <w:rPr>
          <w:rFonts w:hint="eastAsia" w:ascii="Times New Roman" w:hAnsi="Times New Roman"/>
          <w:szCs w:val="32"/>
        </w:rPr>
        <w:t>“</w:t>
      </w:r>
      <w:r>
        <w:rPr>
          <w:rFonts w:ascii="Times New Roman" w:hAnsi="Times New Roman"/>
          <w:szCs w:val="32"/>
        </w:rPr>
        <w:t>门对门</w:t>
      </w:r>
      <w:r>
        <w:rPr>
          <w:rFonts w:hint="eastAsia" w:ascii="Times New Roman" w:hAnsi="Times New Roman"/>
          <w:szCs w:val="32"/>
        </w:rPr>
        <w:t>”</w:t>
      </w:r>
      <w:r>
        <w:rPr>
          <w:rFonts w:ascii="Times New Roman" w:hAnsi="Times New Roman"/>
          <w:szCs w:val="32"/>
        </w:rPr>
        <w:t>、定制化服务、旅游专线等方面，充分发挥公路客运灵活的优势。</w:t>
      </w:r>
    </w:p>
    <w:p w14:paraId="7647E148">
      <w:pPr>
        <w:spacing w:line="600" w:lineRule="exact"/>
        <w:ind w:firstLine="640" w:firstLineChars="200"/>
        <w:rPr>
          <w:rFonts w:ascii="Times New Roman" w:hAnsi="Times New Roman"/>
          <w:szCs w:val="32"/>
        </w:rPr>
      </w:pPr>
      <w:r>
        <w:rPr>
          <w:rFonts w:ascii="Times New Roman" w:hAnsi="Times New Roman" w:eastAsia="方正楷体_GBK"/>
          <w:szCs w:val="32"/>
        </w:rPr>
        <w:t>（三）建设生态绿色的交通设施。</w:t>
      </w:r>
      <w:r>
        <w:rPr>
          <w:rFonts w:ascii="Times New Roman" w:hAnsi="Times New Roman"/>
          <w:szCs w:val="32"/>
        </w:rPr>
        <w:t>坚持将生态优先、绿色发展理念融入交通基础设施设计、建设、运营和养护全过程。以高速公路和国省道为依托，打造公路绿色景观走廊，推动建设</w:t>
      </w:r>
      <w:r>
        <w:rPr>
          <w:rFonts w:hint="eastAsia" w:ascii="Times New Roman" w:hAnsi="Times New Roman"/>
          <w:szCs w:val="32"/>
        </w:rPr>
        <w:t>“</w:t>
      </w:r>
      <w:r>
        <w:rPr>
          <w:rFonts w:ascii="Times New Roman" w:hAnsi="Times New Roman"/>
          <w:szCs w:val="32"/>
        </w:rPr>
        <w:t>美丽公路</w:t>
      </w:r>
      <w:r>
        <w:rPr>
          <w:rFonts w:hint="eastAsia" w:ascii="Times New Roman" w:hAnsi="Times New Roman"/>
          <w:szCs w:val="32"/>
        </w:rPr>
        <w:t>”</w:t>
      </w:r>
      <w:r>
        <w:rPr>
          <w:rFonts w:ascii="Times New Roman" w:hAnsi="Times New Roman"/>
          <w:szCs w:val="32"/>
        </w:rPr>
        <w:t>。继续推广纯电动客车、纯电动货车在交通运输装备中的应用，进一步加大对老旧船舶的拆解淘汰以及三峡库区新型标准化船舶的推广，加大电、天然气等新能源或清洁能源船舶推广力度。</w:t>
      </w:r>
    </w:p>
    <w:p w14:paraId="11F5747C">
      <w:pPr>
        <w:spacing w:line="600" w:lineRule="exact"/>
        <w:ind w:firstLine="640" w:firstLineChars="200"/>
        <w:rPr>
          <w:rFonts w:ascii="Times New Roman" w:hAnsi="Times New Roman"/>
          <w:szCs w:val="32"/>
        </w:rPr>
      </w:pPr>
      <w:r>
        <w:rPr>
          <w:rFonts w:ascii="Times New Roman" w:hAnsi="Times New Roman" w:eastAsia="方正楷体_GBK"/>
          <w:szCs w:val="32"/>
        </w:rPr>
        <w:t>（四）强化交通运输政务服务改革</w:t>
      </w:r>
      <w:r>
        <w:rPr>
          <w:rFonts w:ascii="Times New Roman" w:hAnsi="Times New Roman"/>
          <w:szCs w:val="32"/>
        </w:rPr>
        <w:t>。交通运输政务服务事项实现全网通办，增加最多跑一次申报事项30项，零材料申报事项10项，即办件比例达95%，行政许可办理事项承诺办理时间相较于法定时间平均减少50%。建立形成有效的审批事项事中事后监管制度，有力推动政府治理体制和治理能力现代化，建设形成人民满意的服务型政府。</w:t>
      </w:r>
    </w:p>
    <w:tbl>
      <w:tblPr>
        <w:tblStyle w:val="13"/>
        <w:tblpPr w:leftFromText="180" w:rightFromText="180" w:vertAnchor="text" w:horzAnchor="margin" w:tblpXSpec="center" w:tblpY="462"/>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14:paraId="0FA2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516" w:type="dxa"/>
          </w:tcPr>
          <w:p w14:paraId="2D2E655F">
            <w:pPr>
              <w:spacing w:line="400" w:lineRule="exact"/>
              <w:ind w:firstLine="560"/>
              <w:jc w:val="center"/>
              <w:rPr>
                <w:rFonts w:ascii="Times New Roman" w:hAnsi="Times New Roman"/>
                <w:sz w:val="28"/>
                <w:szCs w:val="28"/>
              </w:rPr>
            </w:pPr>
            <w:r>
              <w:rPr>
                <w:rFonts w:ascii="Times New Roman" w:hAnsi="Times New Roman"/>
                <w:sz w:val="28"/>
                <w:szCs w:val="28"/>
              </w:rPr>
              <w:t xml:space="preserve">专栏7 </w:t>
            </w:r>
            <w:r>
              <w:rPr>
                <w:rFonts w:hint="eastAsia" w:ascii="Times New Roman" w:hAnsi="Times New Roman"/>
                <w:sz w:val="28"/>
                <w:szCs w:val="28"/>
              </w:rPr>
              <w:t>“</w:t>
            </w:r>
            <w:r>
              <w:rPr>
                <w:rFonts w:ascii="Times New Roman" w:hAnsi="Times New Roman"/>
                <w:sz w:val="28"/>
                <w:szCs w:val="28"/>
              </w:rPr>
              <w:t>十四五</w:t>
            </w:r>
            <w:r>
              <w:rPr>
                <w:rFonts w:hint="eastAsia" w:ascii="Times New Roman" w:hAnsi="Times New Roman"/>
                <w:sz w:val="28"/>
                <w:szCs w:val="28"/>
              </w:rPr>
              <w:t>”</w:t>
            </w:r>
            <w:r>
              <w:rPr>
                <w:rFonts w:ascii="Times New Roman" w:hAnsi="Times New Roman"/>
                <w:sz w:val="28"/>
                <w:szCs w:val="28"/>
              </w:rPr>
              <w:t>优治理重点项目</w:t>
            </w:r>
          </w:p>
        </w:tc>
      </w:tr>
      <w:tr w14:paraId="762B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8516" w:type="dxa"/>
          </w:tcPr>
          <w:p w14:paraId="378C8D05">
            <w:pPr>
              <w:spacing w:line="400" w:lineRule="exact"/>
              <w:ind w:firstLine="562"/>
              <w:rPr>
                <w:rFonts w:ascii="Times New Roman" w:hAnsi="Times New Roman"/>
                <w:sz w:val="28"/>
                <w:szCs w:val="28"/>
              </w:rPr>
            </w:pPr>
            <w:r>
              <w:rPr>
                <w:rFonts w:ascii="Times New Roman" w:hAnsi="Times New Roman"/>
                <w:sz w:val="28"/>
                <w:szCs w:val="28"/>
              </w:rPr>
              <w:t>日常养护：实施3个养护站；实施预防性养护127公里，实施比例为25%。安全设施：规划实施公路安防设施工程750公里，实施20座危桥改造项目，乡道及以上公路安全隐患计划完成率100%。 做好500公里公路安防设施工程和8座危桥改造项目储备。</w:t>
            </w:r>
          </w:p>
        </w:tc>
      </w:tr>
    </w:tbl>
    <w:p w14:paraId="22647791">
      <w:pPr>
        <w:pStyle w:val="4"/>
        <w:keepNext w:val="0"/>
        <w:keepLines w:val="0"/>
        <w:widowControl w:val="0"/>
        <w:spacing w:beforeLines="0" w:afterLines="0"/>
        <w:ind w:firstLine="640"/>
        <w:rPr>
          <w:rFonts w:eastAsia="方正黑体_GBK"/>
          <w:b w:val="0"/>
          <w:bCs w:val="0"/>
          <w:kern w:val="28"/>
        </w:rPr>
      </w:pPr>
      <w:bookmarkStart w:id="100" w:name="_Toc180"/>
      <w:bookmarkStart w:id="101" w:name="_Toc17525"/>
      <w:bookmarkStart w:id="102" w:name="_Toc59403216"/>
      <w:bookmarkStart w:id="103" w:name="_Toc12072"/>
      <w:r>
        <w:rPr>
          <w:rFonts w:eastAsia="方正黑体_GBK"/>
          <w:b w:val="0"/>
          <w:bCs w:val="0"/>
          <w:kern w:val="28"/>
        </w:rPr>
        <w:t>八、健全新机制</w:t>
      </w:r>
      <w:bookmarkEnd w:id="100"/>
      <w:bookmarkEnd w:id="101"/>
      <w:bookmarkEnd w:id="102"/>
      <w:r>
        <w:rPr>
          <w:rFonts w:eastAsia="方正黑体_GBK"/>
          <w:b w:val="0"/>
          <w:bCs w:val="0"/>
          <w:kern w:val="28"/>
        </w:rPr>
        <w:t>，建设协同交通</w:t>
      </w:r>
      <w:bookmarkEnd w:id="103"/>
    </w:p>
    <w:p w14:paraId="0DE94553">
      <w:pPr>
        <w:spacing w:line="600" w:lineRule="exact"/>
        <w:ind w:firstLine="640" w:firstLineChars="200"/>
        <w:rPr>
          <w:rFonts w:ascii="Times New Roman" w:hAnsi="Times New Roman"/>
          <w:szCs w:val="32"/>
        </w:rPr>
      </w:pPr>
      <w:r>
        <w:rPr>
          <w:rFonts w:ascii="Times New Roman" w:hAnsi="Times New Roman" w:eastAsia="方正楷体_GBK"/>
          <w:szCs w:val="32"/>
        </w:rPr>
        <w:t>（一）推动建立跨行政区合作机制</w:t>
      </w:r>
      <w:r>
        <w:rPr>
          <w:rFonts w:ascii="Times New Roman" w:hAnsi="Times New Roman"/>
          <w:szCs w:val="32"/>
        </w:rPr>
        <w:t>。联合忠县、石柱、涪陵、武隆等区县，建立产业发展协同互补、基础设施互联互通、生态环境联防联治等机制。深化与主城都市区、渝东北三峡库区城镇群、渝东南武陵山区城镇群的合作交流，推动建立完善招商引资联动、产业分工协作、要素跨平台流转、协同创新合作等机制。加强与成渝地区双城经济圈各区市的合作交流，推动产业发展、科技创新、人才交流联动协作。完善企业层面参与机制，搭建参与面更广的民营企业交流、合作和服务平台，进一步深化交流合作。</w:t>
      </w:r>
    </w:p>
    <w:p w14:paraId="4578D225">
      <w:pPr>
        <w:spacing w:line="600" w:lineRule="exact"/>
        <w:ind w:firstLine="640" w:firstLineChars="200"/>
        <w:rPr>
          <w:rFonts w:ascii="Times New Roman" w:hAnsi="Times New Roman"/>
          <w:szCs w:val="32"/>
        </w:rPr>
      </w:pPr>
      <w:r>
        <w:rPr>
          <w:rFonts w:ascii="Times New Roman" w:hAnsi="Times New Roman" w:eastAsia="方正楷体_GBK"/>
          <w:szCs w:val="32"/>
        </w:rPr>
        <w:t>（二）推进基础设施互联互通</w:t>
      </w:r>
      <w:r>
        <w:rPr>
          <w:rFonts w:ascii="Times New Roman" w:hAnsi="Times New Roman"/>
          <w:szCs w:val="32"/>
        </w:rPr>
        <w:t>。依托沿江立体交通走廊建设，强化与川渝沿江地区便捷联系，着力构建多种运输方式无缝衔接的综合立体交通枢纽，进一步强化提升丰都在联结川东北地区的作用和优势。推进水天坪港与上游果园港、泸州港、永川港、涪陵港间建立合作机制，促进港口协同发展。</w:t>
      </w:r>
    </w:p>
    <w:p w14:paraId="418CC344">
      <w:pPr>
        <w:spacing w:line="600" w:lineRule="exact"/>
        <w:ind w:firstLine="640" w:firstLineChars="200"/>
        <w:rPr>
          <w:rFonts w:ascii="Times New Roman" w:hAnsi="Times New Roman"/>
          <w:szCs w:val="32"/>
        </w:rPr>
      </w:pPr>
    </w:p>
    <w:p w14:paraId="701BC68F">
      <w:pPr>
        <w:pStyle w:val="3"/>
        <w:spacing w:beforeLines="0" w:line="600" w:lineRule="exact"/>
        <w:rPr>
          <w:rFonts w:ascii="Times New Roman" w:hAnsi="Times New Roman" w:cs="Times New Roman"/>
          <w:b w:val="0"/>
          <w:bCs w:val="0"/>
          <w:sz w:val="36"/>
          <w:szCs w:val="36"/>
        </w:rPr>
      </w:pPr>
      <w:bookmarkStart w:id="104" w:name="_Toc6049"/>
      <w:r>
        <w:rPr>
          <w:rFonts w:ascii="Times New Roman" w:hAnsi="Times New Roman" w:cs="Times New Roman"/>
          <w:b w:val="0"/>
          <w:bCs w:val="0"/>
          <w:sz w:val="36"/>
          <w:szCs w:val="36"/>
        </w:rPr>
        <w:t>第五章  资金需求与效果评价</w:t>
      </w:r>
      <w:bookmarkEnd w:id="92"/>
      <w:bookmarkEnd w:id="104"/>
    </w:p>
    <w:p w14:paraId="4D9D3B2C">
      <w:pPr>
        <w:pStyle w:val="3"/>
        <w:spacing w:beforeLines="0" w:line="600" w:lineRule="exact"/>
        <w:rPr>
          <w:rFonts w:ascii="Times New Roman" w:hAnsi="Times New Roman" w:cs="Times New Roman"/>
          <w:b w:val="0"/>
          <w:bCs w:val="0"/>
          <w:sz w:val="36"/>
          <w:szCs w:val="36"/>
        </w:rPr>
      </w:pPr>
    </w:p>
    <w:p w14:paraId="640B3A38">
      <w:pPr>
        <w:pStyle w:val="4"/>
        <w:keepNext w:val="0"/>
        <w:keepLines w:val="0"/>
        <w:widowControl w:val="0"/>
        <w:spacing w:beforeLines="0" w:afterLines="0"/>
        <w:ind w:firstLine="640"/>
        <w:rPr>
          <w:rFonts w:eastAsia="方正黑体_GBK"/>
          <w:b w:val="0"/>
          <w:bCs w:val="0"/>
        </w:rPr>
      </w:pPr>
      <w:bookmarkStart w:id="105" w:name="_Toc77674803"/>
      <w:bookmarkStart w:id="106" w:name="_Toc18570"/>
      <w:r>
        <w:rPr>
          <w:rFonts w:eastAsia="方正黑体_GBK"/>
          <w:b w:val="0"/>
          <w:bCs w:val="0"/>
        </w:rPr>
        <w:t>一、资金需求</w:t>
      </w:r>
      <w:bookmarkEnd w:id="105"/>
      <w:bookmarkEnd w:id="106"/>
    </w:p>
    <w:p w14:paraId="689A50AF">
      <w:pPr>
        <w:spacing w:line="600" w:lineRule="exact"/>
        <w:ind w:firstLine="640"/>
        <w:rPr>
          <w:rFonts w:ascii="Times New Roman" w:hAnsi="Times New Roman"/>
          <w:szCs w:val="32"/>
        </w:rPr>
      </w:pPr>
      <w:r>
        <w:rPr>
          <w:rFonts w:ascii="Times New Roman" w:hAnsi="Times New Roman"/>
          <w:szCs w:val="32"/>
        </w:rPr>
        <w:t>根据</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交通建设重点项目实施计划，分类统计各类项目资金需求如下表所示。</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”期间</w:t>
      </w:r>
      <w:r>
        <w:rPr>
          <w:rFonts w:ascii="Times New Roman" w:hAnsi="Times New Roman"/>
          <w:szCs w:val="32"/>
        </w:rPr>
        <w:t xml:space="preserve">，丰都交通建设项目资金需求约258.2亿元，其中铁路97.5亿元，航空1亿元，高速连接线15.4亿元，高速公路114亿元，普通公路16.9亿元（其中国省道5.9亿元、农村公路11亿元），水运10.3亿元，客运站场2.8亿元，智慧交通0.3亿元。 </w:t>
      </w:r>
    </w:p>
    <w:p w14:paraId="1BE1E7C7">
      <w:pPr>
        <w:spacing w:line="600" w:lineRule="exact"/>
        <w:ind w:firstLine="640"/>
        <w:rPr>
          <w:rFonts w:ascii="Times New Roman" w:hAnsi="Times New Roman"/>
          <w:szCs w:val="32"/>
        </w:rPr>
      </w:pPr>
      <w:r>
        <w:rPr>
          <w:rFonts w:ascii="Times New Roman" w:hAnsi="Times New Roman"/>
          <w:szCs w:val="32"/>
        </w:rPr>
        <w:t>其中拟争取国家和市级资金132.2亿元，区县政府及社会融资126亿元。</w:t>
      </w:r>
    </w:p>
    <w:p w14:paraId="1644166B">
      <w:pPr>
        <w:spacing w:line="600" w:lineRule="exact"/>
        <w:jc w:val="center"/>
        <w:rPr>
          <w:rFonts w:ascii="Times New Roman" w:hAnsi="Times New Roman"/>
          <w:szCs w:val="32"/>
        </w:rPr>
      </w:pPr>
      <w:r>
        <w:rPr>
          <w:rFonts w:ascii="Times New Roman" w:hAnsi="Times New Roman"/>
          <w:szCs w:val="32"/>
        </w:rPr>
        <w:t>表5</w:t>
      </w:r>
      <w:r>
        <w:rPr>
          <w:rFonts w:hint="eastAsia" w:ascii="Times New Roman" w:hAnsi="Times New Roman"/>
          <w:szCs w:val="32"/>
        </w:rPr>
        <w:t>-</w:t>
      </w:r>
      <w:r>
        <w:rPr>
          <w:rFonts w:ascii="Times New Roman" w:hAnsi="Times New Roman"/>
          <w:szCs w:val="32"/>
        </w:rPr>
        <w:t>1 丰都</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综合交通投资平衡表（单位：亿元）</w:t>
      </w:r>
    </w:p>
    <w:tbl>
      <w:tblPr>
        <w:tblStyle w:val="13"/>
        <w:tblW w:w="8628" w:type="dxa"/>
        <w:jc w:val="center"/>
        <w:tblLayout w:type="fixed"/>
        <w:tblCellMar>
          <w:top w:w="0" w:type="dxa"/>
          <w:left w:w="108" w:type="dxa"/>
          <w:bottom w:w="0" w:type="dxa"/>
          <w:right w:w="108" w:type="dxa"/>
        </w:tblCellMar>
      </w:tblPr>
      <w:tblGrid>
        <w:gridCol w:w="1186"/>
        <w:gridCol w:w="2088"/>
        <w:gridCol w:w="1796"/>
        <w:gridCol w:w="1843"/>
        <w:gridCol w:w="1715"/>
      </w:tblGrid>
      <w:tr w14:paraId="40F8FBC9">
        <w:tblPrEx>
          <w:tblCellMar>
            <w:top w:w="0" w:type="dxa"/>
            <w:left w:w="108" w:type="dxa"/>
            <w:bottom w:w="0" w:type="dxa"/>
            <w:right w:w="108" w:type="dxa"/>
          </w:tblCellMar>
        </w:tblPrEx>
        <w:trPr>
          <w:trHeight w:val="798" w:hRule="atLeast"/>
          <w:jc w:val="center"/>
        </w:trPr>
        <w:tc>
          <w:tcPr>
            <w:tcW w:w="3274" w:type="dxa"/>
            <w:gridSpan w:val="2"/>
            <w:tcBorders>
              <w:top w:val="single" w:color="auto" w:sz="4" w:space="0"/>
              <w:left w:val="single" w:color="auto" w:sz="4" w:space="0"/>
              <w:bottom w:val="single" w:color="auto" w:sz="4" w:space="0"/>
              <w:right w:val="single" w:color="auto" w:sz="4" w:space="0"/>
            </w:tcBorders>
            <w:vAlign w:val="center"/>
          </w:tcPr>
          <w:p w14:paraId="2230AB82">
            <w:pPr>
              <w:spacing w:line="400" w:lineRule="exact"/>
              <w:jc w:val="center"/>
              <w:rPr>
                <w:rFonts w:ascii="Times New Roman" w:hAnsi="Times New Roman"/>
                <w:kern w:val="0"/>
                <w:sz w:val="28"/>
                <w:szCs w:val="28"/>
              </w:rPr>
            </w:pPr>
            <w:r>
              <w:rPr>
                <w:rFonts w:ascii="Times New Roman" w:hAnsi="Times New Roman"/>
                <w:kern w:val="0"/>
                <w:sz w:val="28"/>
                <w:szCs w:val="28"/>
              </w:rPr>
              <w:t>类型</w:t>
            </w:r>
          </w:p>
        </w:tc>
        <w:tc>
          <w:tcPr>
            <w:tcW w:w="1796" w:type="dxa"/>
            <w:tcBorders>
              <w:top w:val="single" w:color="auto" w:sz="4" w:space="0"/>
              <w:left w:val="nil"/>
              <w:bottom w:val="single" w:color="auto" w:sz="4" w:space="0"/>
              <w:right w:val="single" w:color="auto" w:sz="4" w:space="0"/>
            </w:tcBorders>
            <w:vAlign w:val="center"/>
          </w:tcPr>
          <w:p w14:paraId="37C132AD">
            <w:pPr>
              <w:spacing w:line="400" w:lineRule="exact"/>
              <w:jc w:val="center"/>
              <w:rPr>
                <w:rFonts w:ascii="Times New Roman" w:hAnsi="Times New Roman"/>
                <w:kern w:val="0"/>
                <w:sz w:val="28"/>
                <w:szCs w:val="28"/>
              </w:rPr>
            </w:pPr>
            <w:r>
              <w:rPr>
                <w:rFonts w:ascii="Times New Roman" w:hAnsi="Times New Roman"/>
                <w:kern w:val="0"/>
                <w:sz w:val="28"/>
                <w:szCs w:val="28"/>
              </w:rPr>
              <w:t>规划投资</w:t>
            </w:r>
          </w:p>
        </w:tc>
        <w:tc>
          <w:tcPr>
            <w:tcW w:w="1843" w:type="dxa"/>
            <w:tcBorders>
              <w:top w:val="single" w:color="auto" w:sz="4" w:space="0"/>
              <w:left w:val="nil"/>
              <w:bottom w:val="single" w:color="auto" w:sz="4" w:space="0"/>
              <w:right w:val="single" w:color="auto" w:sz="4" w:space="0"/>
            </w:tcBorders>
            <w:vAlign w:val="center"/>
          </w:tcPr>
          <w:p w14:paraId="075712BB">
            <w:pPr>
              <w:spacing w:line="400" w:lineRule="exact"/>
              <w:rPr>
                <w:rFonts w:ascii="Times New Roman" w:hAnsi="Times New Roman"/>
                <w:kern w:val="0"/>
                <w:sz w:val="28"/>
                <w:szCs w:val="28"/>
              </w:rPr>
            </w:pPr>
            <w:r>
              <w:rPr>
                <w:rFonts w:ascii="Times New Roman" w:hAnsi="Times New Roman"/>
                <w:kern w:val="0"/>
                <w:sz w:val="28"/>
                <w:szCs w:val="28"/>
              </w:rPr>
              <w:t>拟争取国家和市级资金</w:t>
            </w:r>
          </w:p>
        </w:tc>
        <w:tc>
          <w:tcPr>
            <w:tcW w:w="1715" w:type="dxa"/>
            <w:tcBorders>
              <w:top w:val="single" w:color="auto" w:sz="4" w:space="0"/>
              <w:left w:val="nil"/>
              <w:bottom w:val="single" w:color="auto" w:sz="4" w:space="0"/>
              <w:right w:val="single" w:color="auto" w:sz="4" w:space="0"/>
            </w:tcBorders>
            <w:vAlign w:val="center"/>
          </w:tcPr>
          <w:p w14:paraId="60D5D8C8">
            <w:pPr>
              <w:spacing w:line="400" w:lineRule="exact"/>
              <w:jc w:val="center"/>
              <w:rPr>
                <w:rFonts w:ascii="Times New Roman" w:hAnsi="Times New Roman"/>
                <w:kern w:val="0"/>
                <w:sz w:val="28"/>
                <w:szCs w:val="28"/>
              </w:rPr>
            </w:pPr>
            <w:r>
              <w:rPr>
                <w:rFonts w:ascii="Times New Roman" w:hAnsi="Times New Roman"/>
                <w:kern w:val="0"/>
                <w:sz w:val="28"/>
                <w:szCs w:val="28"/>
              </w:rPr>
              <w:t>区县政府及社会融资</w:t>
            </w:r>
          </w:p>
        </w:tc>
      </w:tr>
      <w:tr w14:paraId="30B5D1BD">
        <w:tblPrEx>
          <w:tblCellMar>
            <w:top w:w="0" w:type="dxa"/>
            <w:left w:w="108" w:type="dxa"/>
            <w:bottom w:w="0" w:type="dxa"/>
            <w:right w:w="108" w:type="dxa"/>
          </w:tblCellMar>
        </w:tblPrEx>
        <w:trPr>
          <w:trHeight w:val="397" w:hRule="exact"/>
          <w:jc w:val="center"/>
        </w:trPr>
        <w:tc>
          <w:tcPr>
            <w:tcW w:w="32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16D78A">
            <w:pPr>
              <w:spacing w:line="400" w:lineRule="exact"/>
              <w:jc w:val="center"/>
              <w:rPr>
                <w:rFonts w:ascii="Times New Roman" w:hAnsi="Times New Roman"/>
                <w:kern w:val="0"/>
                <w:sz w:val="28"/>
                <w:szCs w:val="28"/>
              </w:rPr>
            </w:pPr>
            <w:r>
              <w:rPr>
                <w:rFonts w:ascii="Times New Roman" w:hAnsi="Times New Roman"/>
                <w:kern w:val="0"/>
                <w:sz w:val="28"/>
                <w:szCs w:val="28"/>
              </w:rPr>
              <w:t>铁  路</w:t>
            </w:r>
          </w:p>
        </w:tc>
        <w:tc>
          <w:tcPr>
            <w:tcW w:w="1796" w:type="dxa"/>
            <w:tcBorders>
              <w:top w:val="nil"/>
              <w:left w:val="nil"/>
              <w:bottom w:val="nil"/>
              <w:right w:val="nil"/>
            </w:tcBorders>
            <w:shd w:val="clear" w:color="000000" w:fill="FFFFFF"/>
            <w:vAlign w:val="center"/>
          </w:tcPr>
          <w:p w14:paraId="5C45BBCA">
            <w:pPr>
              <w:spacing w:line="400" w:lineRule="exact"/>
              <w:jc w:val="center"/>
              <w:rPr>
                <w:rFonts w:ascii="Times New Roman" w:hAnsi="Times New Roman"/>
                <w:sz w:val="28"/>
                <w:szCs w:val="28"/>
              </w:rPr>
            </w:pPr>
            <w:r>
              <w:rPr>
                <w:rFonts w:ascii="Times New Roman" w:hAnsi="Times New Roman"/>
                <w:sz w:val="28"/>
                <w:szCs w:val="28"/>
              </w:rPr>
              <w:t>97.5</w:t>
            </w:r>
          </w:p>
        </w:tc>
        <w:tc>
          <w:tcPr>
            <w:tcW w:w="1843" w:type="dxa"/>
            <w:tcBorders>
              <w:top w:val="nil"/>
              <w:left w:val="single" w:color="auto" w:sz="4" w:space="0"/>
              <w:bottom w:val="single" w:color="auto" w:sz="4" w:space="0"/>
              <w:right w:val="single" w:color="auto" w:sz="4" w:space="0"/>
            </w:tcBorders>
            <w:vAlign w:val="center"/>
          </w:tcPr>
          <w:p w14:paraId="16A88E14">
            <w:pPr>
              <w:spacing w:line="400" w:lineRule="exact"/>
              <w:jc w:val="center"/>
              <w:rPr>
                <w:rFonts w:ascii="Times New Roman" w:hAnsi="Times New Roman"/>
                <w:sz w:val="28"/>
                <w:szCs w:val="28"/>
              </w:rPr>
            </w:pPr>
            <w:r>
              <w:rPr>
                <w:rFonts w:ascii="Times New Roman" w:hAnsi="Times New Roman"/>
                <w:sz w:val="28"/>
                <w:szCs w:val="28"/>
              </w:rPr>
              <w:t>92</w:t>
            </w:r>
          </w:p>
        </w:tc>
        <w:tc>
          <w:tcPr>
            <w:tcW w:w="1715" w:type="dxa"/>
            <w:tcBorders>
              <w:top w:val="nil"/>
              <w:left w:val="nil"/>
              <w:bottom w:val="single" w:color="auto" w:sz="4" w:space="0"/>
              <w:right w:val="single" w:color="auto" w:sz="4" w:space="0"/>
            </w:tcBorders>
            <w:vAlign w:val="center"/>
          </w:tcPr>
          <w:p w14:paraId="17A4D05B">
            <w:pPr>
              <w:spacing w:line="400" w:lineRule="exact"/>
              <w:jc w:val="center"/>
              <w:rPr>
                <w:rFonts w:ascii="Times New Roman" w:hAnsi="Times New Roman"/>
                <w:sz w:val="28"/>
                <w:szCs w:val="28"/>
              </w:rPr>
            </w:pPr>
            <w:r>
              <w:rPr>
                <w:rFonts w:ascii="Times New Roman" w:hAnsi="Times New Roman"/>
                <w:sz w:val="28"/>
                <w:szCs w:val="28"/>
              </w:rPr>
              <w:t>5.5</w:t>
            </w:r>
          </w:p>
        </w:tc>
      </w:tr>
      <w:tr w14:paraId="32015AEA">
        <w:tblPrEx>
          <w:tblCellMar>
            <w:top w:w="0" w:type="dxa"/>
            <w:left w:w="108" w:type="dxa"/>
            <w:bottom w:w="0" w:type="dxa"/>
            <w:right w:w="108" w:type="dxa"/>
          </w:tblCellMar>
        </w:tblPrEx>
        <w:trPr>
          <w:trHeight w:val="397" w:hRule="exact"/>
          <w:jc w:val="center"/>
        </w:trPr>
        <w:tc>
          <w:tcPr>
            <w:tcW w:w="3274" w:type="dxa"/>
            <w:gridSpan w:val="2"/>
            <w:tcBorders>
              <w:top w:val="nil"/>
              <w:left w:val="single" w:color="auto" w:sz="4" w:space="0"/>
              <w:bottom w:val="single" w:color="auto" w:sz="4" w:space="0"/>
              <w:right w:val="single" w:color="auto" w:sz="4" w:space="0"/>
            </w:tcBorders>
            <w:shd w:val="clear" w:color="auto" w:fill="auto"/>
            <w:vAlign w:val="center"/>
          </w:tcPr>
          <w:p w14:paraId="0ED79C48">
            <w:pPr>
              <w:spacing w:line="400" w:lineRule="exact"/>
              <w:jc w:val="center"/>
              <w:rPr>
                <w:rFonts w:ascii="Times New Roman" w:hAnsi="Times New Roman"/>
                <w:kern w:val="0"/>
                <w:sz w:val="28"/>
                <w:szCs w:val="28"/>
              </w:rPr>
            </w:pPr>
            <w:r>
              <w:rPr>
                <w:rFonts w:ascii="Times New Roman" w:hAnsi="Times New Roman"/>
                <w:kern w:val="0"/>
                <w:sz w:val="28"/>
                <w:szCs w:val="28"/>
              </w:rPr>
              <w:t>航  空</w:t>
            </w:r>
          </w:p>
        </w:tc>
        <w:tc>
          <w:tcPr>
            <w:tcW w:w="1796" w:type="dxa"/>
            <w:tcBorders>
              <w:top w:val="single" w:color="auto" w:sz="4" w:space="0"/>
              <w:left w:val="nil"/>
              <w:bottom w:val="single" w:color="auto" w:sz="4" w:space="0"/>
              <w:right w:val="single" w:color="auto" w:sz="4" w:space="0"/>
            </w:tcBorders>
            <w:shd w:val="clear" w:color="000000" w:fill="FFFFFF"/>
          </w:tcPr>
          <w:p w14:paraId="1DF5DDB2">
            <w:pPr>
              <w:spacing w:line="400" w:lineRule="exact"/>
              <w:jc w:val="center"/>
              <w:rPr>
                <w:rFonts w:ascii="Times New Roman" w:hAnsi="Times New Roman"/>
                <w:sz w:val="28"/>
                <w:szCs w:val="28"/>
              </w:rPr>
            </w:pPr>
            <w:r>
              <w:rPr>
                <w:rFonts w:ascii="Times New Roman" w:hAnsi="Times New Roman"/>
                <w:spacing w:val="-3"/>
                <w:sz w:val="28"/>
                <w:szCs w:val="28"/>
              </w:rPr>
              <w:t>1</w:t>
            </w:r>
          </w:p>
        </w:tc>
        <w:tc>
          <w:tcPr>
            <w:tcW w:w="1843" w:type="dxa"/>
            <w:tcBorders>
              <w:top w:val="nil"/>
              <w:left w:val="nil"/>
              <w:bottom w:val="single" w:color="auto" w:sz="4" w:space="0"/>
              <w:right w:val="single" w:color="auto" w:sz="4" w:space="0"/>
            </w:tcBorders>
          </w:tcPr>
          <w:p w14:paraId="26CD667E">
            <w:pPr>
              <w:spacing w:line="400" w:lineRule="exact"/>
              <w:jc w:val="center"/>
              <w:rPr>
                <w:rFonts w:ascii="Times New Roman" w:hAnsi="Times New Roman"/>
                <w:sz w:val="28"/>
                <w:szCs w:val="28"/>
              </w:rPr>
            </w:pPr>
            <w:r>
              <w:rPr>
                <w:rFonts w:ascii="Times New Roman" w:hAnsi="Times New Roman"/>
                <w:sz w:val="28"/>
                <w:szCs w:val="28"/>
              </w:rPr>
              <w:t>0</w:t>
            </w:r>
          </w:p>
        </w:tc>
        <w:tc>
          <w:tcPr>
            <w:tcW w:w="1715" w:type="dxa"/>
            <w:tcBorders>
              <w:top w:val="nil"/>
              <w:left w:val="nil"/>
              <w:bottom w:val="single" w:color="auto" w:sz="4" w:space="0"/>
              <w:right w:val="single" w:color="auto" w:sz="4" w:space="0"/>
            </w:tcBorders>
          </w:tcPr>
          <w:p w14:paraId="029C6516">
            <w:pPr>
              <w:spacing w:line="400" w:lineRule="exact"/>
              <w:jc w:val="center"/>
              <w:rPr>
                <w:rFonts w:ascii="Times New Roman" w:hAnsi="Times New Roman"/>
                <w:sz w:val="28"/>
                <w:szCs w:val="28"/>
              </w:rPr>
            </w:pPr>
            <w:r>
              <w:rPr>
                <w:rFonts w:ascii="Times New Roman" w:hAnsi="Times New Roman"/>
                <w:spacing w:val="-2"/>
                <w:sz w:val="28"/>
                <w:szCs w:val="28"/>
              </w:rPr>
              <w:t>1</w:t>
            </w:r>
          </w:p>
        </w:tc>
      </w:tr>
      <w:tr w14:paraId="2239919F">
        <w:tblPrEx>
          <w:tblCellMar>
            <w:top w:w="0" w:type="dxa"/>
            <w:left w:w="108" w:type="dxa"/>
            <w:bottom w:w="0" w:type="dxa"/>
            <w:right w:w="108" w:type="dxa"/>
          </w:tblCellMar>
        </w:tblPrEx>
        <w:trPr>
          <w:trHeight w:val="397" w:hRule="exact"/>
          <w:jc w:val="center"/>
        </w:trPr>
        <w:tc>
          <w:tcPr>
            <w:tcW w:w="3274" w:type="dxa"/>
            <w:gridSpan w:val="2"/>
            <w:tcBorders>
              <w:top w:val="nil"/>
              <w:left w:val="single" w:color="auto" w:sz="4" w:space="0"/>
              <w:bottom w:val="single" w:color="auto" w:sz="4" w:space="0"/>
              <w:right w:val="single" w:color="auto" w:sz="4" w:space="0"/>
            </w:tcBorders>
            <w:shd w:val="clear" w:color="auto" w:fill="auto"/>
            <w:vAlign w:val="center"/>
          </w:tcPr>
          <w:p w14:paraId="3FA18B20">
            <w:pPr>
              <w:spacing w:line="400" w:lineRule="exact"/>
              <w:jc w:val="center"/>
              <w:rPr>
                <w:rFonts w:ascii="Times New Roman" w:hAnsi="Times New Roman"/>
                <w:kern w:val="0"/>
                <w:sz w:val="28"/>
                <w:szCs w:val="28"/>
              </w:rPr>
            </w:pPr>
            <w:r>
              <w:rPr>
                <w:rFonts w:ascii="Times New Roman" w:hAnsi="Times New Roman"/>
                <w:kern w:val="0"/>
                <w:sz w:val="28"/>
                <w:szCs w:val="28"/>
              </w:rPr>
              <w:t>高速公路连接线</w:t>
            </w:r>
          </w:p>
        </w:tc>
        <w:tc>
          <w:tcPr>
            <w:tcW w:w="1796" w:type="dxa"/>
            <w:tcBorders>
              <w:top w:val="single" w:color="auto" w:sz="4" w:space="0"/>
              <w:left w:val="nil"/>
              <w:bottom w:val="single" w:color="auto" w:sz="4" w:space="0"/>
              <w:right w:val="single" w:color="auto" w:sz="4" w:space="0"/>
            </w:tcBorders>
            <w:shd w:val="clear" w:color="000000" w:fill="FFFFFF"/>
          </w:tcPr>
          <w:p w14:paraId="1981ADF0">
            <w:pPr>
              <w:spacing w:line="400" w:lineRule="exact"/>
              <w:jc w:val="center"/>
              <w:rPr>
                <w:rFonts w:ascii="Times New Roman" w:hAnsi="Times New Roman"/>
                <w:sz w:val="28"/>
                <w:szCs w:val="28"/>
              </w:rPr>
            </w:pPr>
            <w:r>
              <w:rPr>
                <w:rFonts w:ascii="Times New Roman" w:hAnsi="Times New Roman"/>
                <w:sz w:val="28"/>
                <w:szCs w:val="28"/>
              </w:rPr>
              <w:t>15.4</w:t>
            </w:r>
          </w:p>
        </w:tc>
        <w:tc>
          <w:tcPr>
            <w:tcW w:w="1843" w:type="dxa"/>
            <w:tcBorders>
              <w:top w:val="nil"/>
              <w:left w:val="nil"/>
              <w:bottom w:val="single" w:color="auto" w:sz="4" w:space="0"/>
              <w:right w:val="single" w:color="auto" w:sz="4" w:space="0"/>
            </w:tcBorders>
          </w:tcPr>
          <w:p w14:paraId="63F5AFB1">
            <w:pPr>
              <w:spacing w:line="400" w:lineRule="exact"/>
              <w:jc w:val="center"/>
              <w:rPr>
                <w:rFonts w:ascii="Times New Roman" w:hAnsi="Times New Roman"/>
                <w:sz w:val="28"/>
                <w:szCs w:val="28"/>
              </w:rPr>
            </w:pPr>
            <w:r>
              <w:rPr>
                <w:rFonts w:ascii="Times New Roman" w:hAnsi="Times New Roman"/>
                <w:sz w:val="28"/>
                <w:szCs w:val="28"/>
              </w:rPr>
              <w:t>0</w:t>
            </w:r>
          </w:p>
        </w:tc>
        <w:tc>
          <w:tcPr>
            <w:tcW w:w="1715" w:type="dxa"/>
            <w:tcBorders>
              <w:top w:val="nil"/>
              <w:left w:val="nil"/>
              <w:bottom w:val="single" w:color="auto" w:sz="4" w:space="0"/>
              <w:right w:val="single" w:color="auto" w:sz="4" w:space="0"/>
            </w:tcBorders>
          </w:tcPr>
          <w:p w14:paraId="33A18FF2">
            <w:pPr>
              <w:spacing w:line="400" w:lineRule="exact"/>
              <w:jc w:val="center"/>
              <w:rPr>
                <w:rFonts w:ascii="Times New Roman" w:hAnsi="Times New Roman"/>
                <w:sz w:val="28"/>
                <w:szCs w:val="28"/>
              </w:rPr>
            </w:pPr>
            <w:r>
              <w:rPr>
                <w:rFonts w:ascii="Times New Roman" w:hAnsi="Times New Roman"/>
                <w:sz w:val="28"/>
                <w:szCs w:val="28"/>
              </w:rPr>
              <w:t>15.4</w:t>
            </w:r>
          </w:p>
        </w:tc>
      </w:tr>
      <w:tr w14:paraId="5B7C2EB3">
        <w:tblPrEx>
          <w:tblCellMar>
            <w:top w:w="0" w:type="dxa"/>
            <w:left w:w="108" w:type="dxa"/>
            <w:bottom w:w="0" w:type="dxa"/>
            <w:right w:w="108" w:type="dxa"/>
          </w:tblCellMar>
        </w:tblPrEx>
        <w:trPr>
          <w:trHeight w:val="397" w:hRule="exact"/>
          <w:jc w:val="center"/>
        </w:trPr>
        <w:tc>
          <w:tcPr>
            <w:tcW w:w="1186" w:type="dxa"/>
            <w:vMerge w:val="restart"/>
            <w:tcBorders>
              <w:top w:val="nil"/>
              <w:left w:val="single" w:color="auto" w:sz="4" w:space="0"/>
              <w:bottom w:val="single" w:color="auto" w:sz="4" w:space="0"/>
              <w:right w:val="single" w:color="auto" w:sz="4" w:space="0"/>
            </w:tcBorders>
            <w:shd w:val="clear" w:color="auto" w:fill="auto"/>
            <w:vAlign w:val="center"/>
          </w:tcPr>
          <w:p w14:paraId="10D6DDD1">
            <w:pPr>
              <w:spacing w:line="400" w:lineRule="exact"/>
              <w:jc w:val="center"/>
              <w:rPr>
                <w:rFonts w:ascii="Times New Roman" w:hAnsi="Times New Roman"/>
                <w:kern w:val="0"/>
                <w:sz w:val="28"/>
                <w:szCs w:val="28"/>
              </w:rPr>
            </w:pPr>
            <w:r>
              <w:rPr>
                <w:rFonts w:ascii="Times New Roman" w:hAnsi="Times New Roman"/>
                <w:kern w:val="0"/>
                <w:sz w:val="28"/>
                <w:szCs w:val="28"/>
              </w:rPr>
              <w:t>公路</w:t>
            </w:r>
          </w:p>
        </w:tc>
        <w:tc>
          <w:tcPr>
            <w:tcW w:w="2088" w:type="dxa"/>
            <w:tcBorders>
              <w:top w:val="nil"/>
              <w:left w:val="nil"/>
              <w:bottom w:val="single" w:color="auto" w:sz="4" w:space="0"/>
              <w:right w:val="single" w:color="auto" w:sz="4" w:space="0"/>
            </w:tcBorders>
            <w:shd w:val="clear" w:color="auto" w:fill="auto"/>
            <w:vAlign w:val="center"/>
          </w:tcPr>
          <w:p w14:paraId="28F037DD">
            <w:pPr>
              <w:spacing w:line="400" w:lineRule="exact"/>
              <w:jc w:val="center"/>
              <w:rPr>
                <w:rFonts w:ascii="Times New Roman" w:hAnsi="Times New Roman"/>
                <w:kern w:val="0"/>
                <w:sz w:val="28"/>
                <w:szCs w:val="28"/>
              </w:rPr>
            </w:pPr>
            <w:r>
              <w:rPr>
                <w:rFonts w:ascii="Times New Roman" w:hAnsi="Times New Roman"/>
                <w:kern w:val="0"/>
                <w:sz w:val="28"/>
                <w:szCs w:val="28"/>
              </w:rPr>
              <w:t>高速公路</w:t>
            </w:r>
          </w:p>
        </w:tc>
        <w:tc>
          <w:tcPr>
            <w:tcW w:w="1796" w:type="dxa"/>
            <w:tcBorders>
              <w:top w:val="single" w:color="auto" w:sz="4" w:space="0"/>
              <w:left w:val="nil"/>
              <w:bottom w:val="single" w:color="auto" w:sz="4" w:space="0"/>
              <w:right w:val="single" w:color="auto" w:sz="4" w:space="0"/>
            </w:tcBorders>
            <w:shd w:val="clear" w:color="000000" w:fill="FFFFFF"/>
            <w:vAlign w:val="center"/>
          </w:tcPr>
          <w:p w14:paraId="7EAF4E08">
            <w:pPr>
              <w:spacing w:line="400" w:lineRule="exact"/>
              <w:jc w:val="center"/>
              <w:rPr>
                <w:rFonts w:ascii="Times New Roman" w:hAnsi="Times New Roman"/>
                <w:sz w:val="28"/>
                <w:szCs w:val="28"/>
              </w:rPr>
            </w:pPr>
            <w:r>
              <w:rPr>
                <w:rFonts w:ascii="Times New Roman" w:hAnsi="Times New Roman"/>
                <w:sz w:val="28"/>
                <w:szCs w:val="28"/>
              </w:rPr>
              <w:t>114</w:t>
            </w:r>
          </w:p>
        </w:tc>
        <w:tc>
          <w:tcPr>
            <w:tcW w:w="1843" w:type="dxa"/>
            <w:tcBorders>
              <w:top w:val="nil"/>
              <w:left w:val="nil"/>
              <w:bottom w:val="single" w:color="auto" w:sz="4" w:space="0"/>
              <w:right w:val="single" w:color="auto" w:sz="4" w:space="0"/>
            </w:tcBorders>
            <w:vAlign w:val="center"/>
          </w:tcPr>
          <w:p w14:paraId="2BE7B58D">
            <w:pPr>
              <w:spacing w:line="400" w:lineRule="exact"/>
              <w:jc w:val="center"/>
              <w:rPr>
                <w:rFonts w:ascii="Times New Roman" w:hAnsi="Times New Roman"/>
                <w:sz w:val="28"/>
                <w:szCs w:val="28"/>
              </w:rPr>
            </w:pPr>
            <w:r>
              <w:rPr>
                <w:rFonts w:ascii="Times New Roman" w:hAnsi="Times New Roman"/>
                <w:sz w:val="28"/>
                <w:szCs w:val="28"/>
              </w:rPr>
              <w:t>29</w:t>
            </w:r>
          </w:p>
        </w:tc>
        <w:tc>
          <w:tcPr>
            <w:tcW w:w="1715" w:type="dxa"/>
            <w:tcBorders>
              <w:top w:val="nil"/>
              <w:left w:val="nil"/>
              <w:bottom w:val="single" w:color="auto" w:sz="4" w:space="0"/>
              <w:right w:val="single" w:color="auto" w:sz="4" w:space="0"/>
            </w:tcBorders>
            <w:vAlign w:val="center"/>
          </w:tcPr>
          <w:p w14:paraId="7E5926C9">
            <w:pPr>
              <w:spacing w:line="400" w:lineRule="exact"/>
              <w:jc w:val="center"/>
              <w:rPr>
                <w:rFonts w:ascii="Times New Roman" w:hAnsi="Times New Roman"/>
                <w:sz w:val="28"/>
                <w:szCs w:val="28"/>
              </w:rPr>
            </w:pPr>
            <w:r>
              <w:rPr>
                <w:rFonts w:ascii="Times New Roman" w:hAnsi="Times New Roman"/>
                <w:sz w:val="28"/>
                <w:szCs w:val="28"/>
              </w:rPr>
              <w:t>85</w:t>
            </w:r>
          </w:p>
        </w:tc>
      </w:tr>
      <w:tr w14:paraId="01D66AE4">
        <w:tblPrEx>
          <w:tblCellMar>
            <w:top w:w="0" w:type="dxa"/>
            <w:left w:w="108" w:type="dxa"/>
            <w:bottom w:w="0" w:type="dxa"/>
            <w:right w:w="108" w:type="dxa"/>
          </w:tblCellMar>
        </w:tblPrEx>
        <w:trPr>
          <w:trHeight w:val="397" w:hRule="exact"/>
          <w:jc w:val="center"/>
        </w:trPr>
        <w:tc>
          <w:tcPr>
            <w:tcW w:w="1186" w:type="dxa"/>
            <w:vMerge w:val="continue"/>
            <w:tcBorders>
              <w:top w:val="nil"/>
              <w:left w:val="single" w:color="auto" w:sz="4" w:space="0"/>
              <w:bottom w:val="single" w:color="auto" w:sz="4" w:space="0"/>
              <w:right w:val="single" w:color="auto" w:sz="4" w:space="0"/>
            </w:tcBorders>
            <w:shd w:val="clear" w:color="auto" w:fill="auto"/>
            <w:vAlign w:val="center"/>
          </w:tcPr>
          <w:p w14:paraId="4EDF1503">
            <w:pPr>
              <w:spacing w:line="400" w:lineRule="exact"/>
              <w:jc w:val="center"/>
              <w:rPr>
                <w:rFonts w:ascii="Times New Roman" w:hAnsi="Times New Roman"/>
                <w:kern w:val="0"/>
                <w:sz w:val="28"/>
                <w:szCs w:val="28"/>
              </w:rPr>
            </w:pPr>
          </w:p>
        </w:tc>
        <w:tc>
          <w:tcPr>
            <w:tcW w:w="2088" w:type="dxa"/>
            <w:tcBorders>
              <w:top w:val="nil"/>
              <w:left w:val="nil"/>
              <w:bottom w:val="single" w:color="auto" w:sz="4" w:space="0"/>
              <w:right w:val="single" w:color="auto" w:sz="4" w:space="0"/>
            </w:tcBorders>
            <w:shd w:val="clear" w:color="auto" w:fill="auto"/>
            <w:vAlign w:val="center"/>
          </w:tcPr>
          <w:p w14:paraId="45D2A10E">
            <w:pPr>
              <w:spacing w:line="400" w:lineRule="exact"/>
              <w:jc w:val="center"/>
              <w:rPr>
                <w:rFonts w:ascii="Times New Roman" w:hAnsi="Times New Roman"/>
                <w:kern w:val="0"/>
                <w:sz w:val="28"/>
                <w:szCs w:val="28"/>
              </w:rPr>
            </w:pPr>
            <w:r>
              <w:rPr>
                <w:rFonts w:ascii="Times New Roman" w:hAnsi="Times New Roman"/>
                <w:kern w:val="0"/>
                <w:sz w:val="28"/>
                <w:szCs w:val="28"/>
              </w:rPr>
              <w:t>普通公路</w:t>
            </w:r>
          </w:p>
        </w:tc>
        <w:tc>
          <w:tcPr>
            <w:tcW w:w="1796" w:type="dxa"/>
            <w:tcBorders>
              <w:top w:val="nil"/>
              <w:left w:val="nil"/>
              <w:bottom w:val="single" w:color="auto" w:sz="4" w:space="0"/>
              <w:right w:val="single" w:color="auto" w:sz="4" w:space="0"/>
            </w:tcBorders>
            <w:shd w:val="clear" w:color="000000" w:fill="FFFFFF"/>
          </w:tcPr>
          <w:p w14:paraId="1F8A2476">
            <w:pPr>
              <w:spacing w:line="400" w:lineRule="exact"/>
              <w:jc w:val="center"/>
              <w:rPr>
                <w:rFonts w:ascii="Times New Roman" w:hAnsi="Times New Roman"/>
                <w:kern w:val="0"/>
                <w:sz w:val="28"/>
                <w:szCs w:val="28"/>
              </w:rPr>
            </w:pPr>
            <w:r>
              <w:rPr>
                <w:rFonts w:ascii="Times New Roman" w:hAnsi="Times New Roman"/>
                <w:sz w:val="28"/>
                <w:szCs w:val="28"/>
              </w:rPr>
              <w:t>16.9</w:t>
            </w:r>
          </w:p>
        </w:tc>
        <w:tc>
          <w:tcPr>
            <w:tcW w:w="1843" w:type="dxa"/>
            <w:tcBorders>
              <w:top w:val="nil"/>
              <w:left w:val="nil"/>
              <w:bottom w:val="single" w:color="auto" w:sz="4" w:space="0"/>
              <w:right w:val="single" w:color="auto" w:sz="4" w:space="0"/>
            </w:tcBorders>
          </w:tcPr>
          <w:p w14:paraId="0FCDC60D">
            <w:pPr>
              <w:spacing w:line="400" w:lineRule="exact"/>
              <w:jc w:val="center"/>
              <w:rPr>
                <w:rFonts w:ascii="Times New Roman" w:hAnsi="Times New Roman"/>
                <w:kern w:val="0"/>
                <w:sz w:val="28"/>
                <w:szCs w:val="28"/>
              </w:rPr>
            </w:pPr>
            <w:r>
              <w:rPr>
                <w:rFonts w:ascii="Times New Roman" w:hAnsi="Times New Roman"/>
                <w:sz w:val="28"/>
                <w:szCs w:val="28"/>
              </w:rPr>
              <w:t>10.5</w:t>
            </w:r>
          </w:p>
        </w:tc>
        <w:tc>
          <w:tcPr>
            <w:tcW w:w="1715" w:type="dxa"/>
            <w:tcBorders>
              <w:top w:val="nil"/>
              <w:left w:val="nil"/>
              <w:bottom w:val="single" w:color="auto" w:sz="4" w:space="0"/>
              <w:right w:val="single" w:color="auto" w:sz="4" w:space="0"/>
            </w:tcBorders>
          </w:tcPr>
          <w:p w14:paraId="37CB5AA4">
            <w:pPr>
              <w:spacing w:line="400" w:lineRule="exact"/>
              <w:jc w:val="center"/>
              <w:rPr>
                <w:rFonts w:ascii="Times New Roman" w:hAnsi="Times New Roman"/>
                <w:sz w:val="28"/>
                <w:szCs w:val="28"/>
              </w:rPr>
            </w:pPr>
            <w:r>
              <w:rPr>
                <w:rFonts w:ascii="Times New Roman" w:hAnsi="Times New Roman"/>
                <w:sz w:val="28"/>
                <w:szCs w:val="28"/>
              </w:rPr>
              <w:t>6.4</w:t>
            </w:r>
          </w:p>
        </w:tc>
      </w:tr>
      <w:tr w14:paraId="1FCEC132">
        <w:tblPrEx>
          <w:tblCellMar>
            <w:top w:w="0" w:type="dxa"/>
            <w:left w:w="108" w:type="dxa"/>
            <w:bottom w:w="0" w:type="dxa"/>
            <w:right w:w="108" w:type="dxa"/>
          </w:tblCellMar>
        </w:tblPrEx>
        <w:trPr>
          <w:trHeight w:val="372" w:hRule="exact"/>
          <w:jc w:val="center"/>
        </w:trPr>
        <w:tc>
          <w:tcPr>
            <w:tcW w:w="3274" w:type="dxa"/>
            <w:gridSpan w:val="2"/>
            <w:tcBorders>
              <w:top w:val="nil"/>
              <w:left w:val="single" w:color="auto" w:sz="4" w:space="0"/>
              <w:bottom w:val="single" w:color="auto" w:sz="4" w:space="0"/>
              <w:right w:val="single" w:color="auto" w:sz="4" w:space="0"/>
            </w:tcBorders>
            <w:shd w:val="clear" w:color="auto" w:fill="auto"/>
            <w:vAlign w:val="center"/>
          </w:tcPr>
          <w:p w14:paraId="201902E0">
            <w:pPr>
              <w:spacing w:line="400" w:lineRule="exact"/>
              <w:jc w:val="center"/>
              <w:rPr>
                <w:rFonts w:ascii="Times New Roman" w:hAnsi="Times New Roman"/>
                <w:kern w:val="0"/>
                <w:sz w:val="28"/>
                <w:szCs w:val="28"/>
              </w:rPr>
            </w:pPr>
            <w:r>
              <w:rPr>
                <w:rFonts w:ascii="Times New Roman" w:hAnsi="Times New Roman"/>
                <w:kern w:val="0"/>
                <w:sz w:val="28"/>
                <w:szCs w:val="28"/>
              </w:rPr>
              <w:t>水  运</w:t>
            </w:r>
          </w:p>
        </w:tc>
        <w:tc>
          <w:tcPr>
            <w:tcW w:w="1796" w:type="dxa"/>
            <w:tcBorders>
              <w:top w:val="nil"/>
              <w:left w:val="nil"/>
              <w:bottom w:val="single" w:color="auto" w:sz="4" w:space="0"/>
              <w:right w:val="single" w:color="auto" w:sz="4" w:space="0"/>
            </w:tcBorders>
            <w:shd w:val="clear" w:color="000000" w:fill="FFFFFF"/>
          </w:tcPr>
          <w:p w14:paraId="5D0A705D">
            <w:pPr>
              <w:spacing w:line="400" w:lineRule="exact"/>
              <w:jc w:val="center"/>
              <w:rPr>
                <w:rFonts w:ascii="Times New Roman" w:hAnsi="Times New Roman"/>
                <w:sz w:val="28"/>
                <w:szCs w:val="28"/>
              </w:rPr>
            </w:pPr>
            <w:r>
              <w:rPr>
                <w:rFonts w:ascii="Times New Roman" w:hAnsi="Times New Roman"/>
                <w:sz w:val="28"/>
                <w:szCs w:val="28"/>
              </w:rPr>
              <w:t>10.3</w:t>
            </w:r>
          </w:p>
        </w:tc>
        <w:tc>
          <w:tcPr>
            <w:tcW w:w="1843" w:type="dxa"/>
            <w:tcBorders>
              <w:top w:val="nil"/>
              <w:left w:val="nil"/>
              <w:bottom w:val="single" w:color="auto" w:sz="4" w:space="0"/>
              <w:right w:val="single" w:color="auto" w:sz="4" w:space="0"/>
            </w:tcBorders>
          </w:tcPr>
          <w:p w14:paraId="3CC39B2C">
            <w:pPr>
              <w:spacing w:line="400" w:lineRule="exact"/>
              <w:jc w:val="center"/>
              <w:rPr>
                <w:rFonts w:ascii="Times New Roman" w:hAnsi="Times New Roman"/>
                <w:sz w:val="28"/>
                <w:szCs w:val="28"/>
              </w:rPr>
            </w:pPr>
            <w:r>
              <w:rPr>
                <w:rFonts w:ascii="Times New Roman" w:hAnsi="Times New Roman"/>
                <w:sz w:val="28"/>
                <w:szCs w:val="28"/>
              </w:rPr>
              <w:t>0.7</w:t>
            </w:r>
          </w:p>
        </w:tc>
        <w:tc>
          <w:tcPr>
            <w:tcW w:w="1715" w:type="dxa"/>
            <w:tcBorders>
              <w:top w:val="nil"/>
              <w:left w:val="nil"/>
              <w:bottom w:val="single" w:color="auto" w:sz="4" w:space="0"/>
              <w:right w:val="single" w:color="auto" w:sz="4" w:space="0"/>
            </w:tcBorders>
          </w:tcPr>
          <w:p w14:paraId="132384F3">
            <w:pPr>
              <w:spacing w:line="400" w:lineRule="exact"/>
              <w:jc w:val="center"/>
              <w:rPr>
                <w:rFonts w:ascii="Times New Roman" w:hAnsi="Times New Roman"/>
                <w:sz w:val="28"/>
                <w:szCs w:val="28"/>
              </w:rPr>
            </w:pPr>
            <w:r>
              <w:rPr>
                <w:rFonts w:ascii="Times New Roman" w:hAnsi="Times New Roman"/>
                <w:sz w:val="28"/>
                <w:szCs w:val="28"/>
              </w:rPr>
              <w:t>9.6</w:t>
            </w:r>
          </w:p>
        </w:tc>
      </w:tr>
      <w:tr w14:paraId="24E8FC26">
        <w:tblPrEx>
          <w:tblCellMar>
            <w:top w:w="0" w:type="dxa"/>
            <w:left w:w="108" w:type="dxa"/>
            <w:bottom w:w="0" w:type="dxa"/>
            <w:right w:w="108" w:type="dxa"/>
          </w:tblCellMar>
        </w:tblPrEx>
        <w:trPr>
          <w:trHeight w:val="421" w:hRule="exact"/>
          <w:jc w:val="center"/>
        </w:trPr>
        <w:tc>
          <w:tcPr>
            <w:tcW w:w="3274" w:type="dxa"/>
            <w:gridSpan w:val="2"/>
            <w:tcBorders>
              <w:top w:val="single" w:color="auto" w:sz="4" w:space="0"/>
              <w:left w:val="single" w:color="auto" w:sz="4" w:space="0"/>
              <w:bottom w:val="single" w:color="auto" w:sz="4" w:space="0"/>
              <w:right w:val="single" w:color="auto" w:sz="4" w:space="0"/>
            </w:tcBorders>
            <w:vAlign w:val="center"/>
          </w:tcPr>
          <w:p w14:paraId="78B4581C">
            <w:pPr>
              <w:spacing w:line="400" w:lineRule="exact"/>
              <w:jc w:val="center"/>
              <w:rPr>
                <w:rFonts w:ascii="Times New Roman" w:hAnsi="Times New Roman"/>
                <w:kern w:val="0"/>
                <w:sz w:val="28"/>
                <w:szCs w:val="28"/>
              </w:rPr>
            </w:pPr>
            <w:r>
              <w:rPr>
                <w:rFonts w:ascii="Times New Roman" w:hAnsi="Times New Roman"/>
                <w:kern w:val="0"/>
                <w:sz w:val="28"/>
                <w:szCs w:val="28"/>
              </w:rPr>
              <w:t>客运站场</w:t>
            </w:r>
          </w:p>
        </w:tc>
        <w:tc>
          <w:tcPr>
            <w:tcW w:w="1796" w:type="dxa"/>
            <w:tcBorders>
              <w:top w:val="single" w:color="auto" w:sz="4" w:space="0"/>
              <w:left w:val="nil"/>
              <w:bottom w:val="single" w:color="auto" w:sz="4" w:space="0"/>
              <w:right w:val="single" w:color="auto" w:sz="4" w:space="0"/>
            </w:tcBorders>
            <w:vAlign w:val="center"/>
          </w:tcPr>
          <w:p w14:paraId="572B4704">
            <w:pPr>
              <w:spacing w:line="400" w:lineRule="exact"/>
              <w:jc w:val="center"/>
              <w:rPr>
                <w:rFonts w:ascii="Times New Roman" w:hAnsi="Times New Roman"/>
                <w:kern w:val="0"/>
                <w:sz w:val="28"/>
                <w:szCs w:val="28"/>
              </w:rPr>
            </w:pPr>
            <w:r>
              <w:rPr>
                <w:rFonts w:ascii="Times New Roman" w:hAnsi="Times New Roman"/>
                <w:sz w:val="28"/>
                <w:szCs w:val="28"/>
              </w:rPr>
              <w:t>2.8</w:t>
            </w:r>
          </w:p>
        </w:tc>
        <w:tc>
          <w:tcPr>
            <w:tcW w:w="1843" w:type="dxa"/>
            <w:tcBorders>
              <w:top w:val="single" w:color="auto" w:sz="4" w:space="0"/>
              <w:left w:val="nil"/>
              <w:bottom w:val="single" w:color="auto" w:sz="4" w:space="0"/>
              <w:right w:val="single" w:color="auto" w:sz="4" w:space="0"/>
            </w:tcBorders>
            <w:vAlign w:val="center"/>
          </w:tcPr>
          <w:p w14:paraId="059A7302">
            <w:pPr>
              <w:spacing w:line="400" w:lineRule="exact"/>
              <w:jc w:val="center"/>
              <w:rPr>
                <w:rFonts w:ascii="Times New Roman" w:hAnsi="Times New Roman"/>
                <w:kern w:val="0"/>
                <w:sz w:val="28"/>
                <w:szCs w:val="28"/>
              </w:rPr>
            </w:pPr>
            <w:r>
              <w:rPr>
                <w:rFonts w:ascii="Times New Roman" w:hAnsi="Times New Roman"/>
                <w:sz w:val="28"/>
                <w:szCs w:val="28"/>
              </w:rPr>
              <w:t>0</w:t>
            </w:r>
          </w:p>
        </w:tc>
        <w:tc>
          <w:tcPr>
            <w:tcW w:w="1715" w:type="dxa"/>
            <w:tcBorders>
              <w:top w:val="single" w:color="auto" w:sz="4" w:space="0"/>
              <w:left w:val="nil"/>
              <w:bottom w:val="single" w:color="auto" w:sz="4" w:space="0"/>
              <w:right w:val="single" w:color="auto" w:sz="4" w:space="0"/>
            </w:tcBorders>
            <w:vAlign w:val="center"/>
          </w:tcPr>
          <w:p w14:paraId="22248C8C">
            <w:pPr>
              <w:spacing w:line="400" w:lineRule="exact"/>
              <w:jc w:val="center"/>
              <w:rPr>
                <w:rFonts w:ascii="Times New Roman" w:hAnsi="Times New Roman"/>
                <w:sz w:val="28"/>
                <w:szCs w:val="28"/>
              </w:rPr>
            </w:pPr>
            <w:r>
              <w:rPr>
                <w:rFonts w:ascii="Times New Roman" w:hAnsi="Times New Roman"/>
                <w:sz w:val="28"/>
                <w:szCs w:val="28"/>
              </w:rPr>
              <w:t>2.8</w:t>
            </w:r>
          </w:p>
        </w:tc>
      </w:tr>
      <w:tr w14:paraId="24CDB6CA">
        <w:tblPrEx>
          <w:tblCellMar>
            <w:top w:w="0" w:type="dxa"/>
            <w:left w:w="108" w:type="dxa"/>
            <w:bottom w:w="0" w:type="dxa"/>
            <w:right w:w="108" w:type="dxa"/>
          </w:tblCellMar>
        </w:tblPrEx>
        <w:trPr>
          <w:trHeight w:val="743" w:hRule="exact"/>
          <w:jc w:val="center"/>
        </w:trPr>
        <w:tc>
          <w:tcPr>
            <w:tcW w:w="3274"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14:paraId="5BDA0FAF">
            <w:pPr>
              <w:spacing w:line="400" w:lineRule="exact"/>
              <w:jc w:val="center"/>
              <w:rPr>
                <w:rFonts w:ascii="Times New Roman" w:hAnsi="Times New Roman"/>
                <w:kern w:val="0"/>
                <w:sz w:val="28"/>
                <w:szCs w:val="28"/>
              </w:rPr>
            </w:pPr>
            <w:r>
              <w:rPr>
                <w:rFonts w:ascii="Times New Roman" w:hAnsi="Times New Roman"/>
                <w:kern w:val="0"/>
                <w:sz w:val="28"/>
                <w:szCs w:val="28"/>
              </w:rPr>
              <w:t>运输、智慧、绿色、平安交通</w:t>
            </w:r>
          </w:p>
        </w:tc>
        <w:tc>
          <w:tcPr>
            <w:tcW w:w="1796" w:type="dxa"/>
            <w:tcBorders>
              <w:top w:val="nil"/>
              <w:left w:val="nil"/>
              <w:bottom w:val="single" w:color="auto" w:sz="4" w:space="0"/>
              <w:right w:val="single" w:color="auto" w:sz="4" w:space="0"/>
            </w:tcBorders>
            <w:shd w:val="clear" w:color="000000" w:fill="FFFFFF"/>
            <w:vAlign w:val="center"/>
          </w:tcPr>
          <w:p w14:paraId="5C39F5F2">
            <w:pPr>
              <w:spacing w:line="400" w:lineRule="exact"/>
              <w:jc w:val="center"/>
              <w:rPr>
                <w:rFonts w:ascii="Times New Roman" w:hAnsi="Times New Roman"/>
                <w:sz w:val="28"/>
                <w:szCs w:val="28"/>
              </w:rPr>
            </w:pPr>
            <w:r>
              <w:rPr>
                <w:rFonts w:ascii="Times New Roman" w:hAnsi="Times New Roman"/>
                <w:sz w:val="28"/>
                <w:szCs w:val="28"/>
              </w:rPr>
              <w:t>0.3</w:t>
            </w:r>
          </w:p>
        </w:tc>
        <w:tc>
          <w:tcPr>
            <w:tcW w:w="1843" w:type="dxa"/>
            <w:tcBorders>
              <w:top w:val="nil"/>
              <w:left w:val="nil"/>
              <w:bottom w:val="single" w:color="auto" w:sz="4" w:space="0"/>
              <w:right w:val="single" w:color="auto" w:sz="4" w:space="0"/>
            </w:tcBorders>
            <w:shd w:val="clear" w:color="000000" w:fill="FFFFFF"/>
            <w:vAlign w:val="center"/>
          </w:tcPr>
          <w:p w14:paraId="7B61673E">
            <w:pPr>
              <w:spacing w:line="400" w:lineRule="exact"/>
              <w:jc w:val="center"/>
              <w:rPr>
                <w:rFonts w:ascii="Times New Roman" w:hAnsi="Times New Roman"/>
                <w:sz w:val="28"/>
                <w:szCs w:val="28"/>
              </w:rPr>
            </w:pPr>
            <w:r>
              <w:rPr>
                <w:rFonts w:ascii="Times New Roman" w:hAnsi="Times New Roman"/>
                <w:sz w:val="28"/>
                <w:szCs w:val="28"/>
              </w:rPr>
              <w:t>0</w:t>
            </w:r>
          </w:p>
        </w:tc>
        <w:tc>
          <w:tcPr>
            <w:tcW w:w="1715" w:type="dxa"/>
            <w:tcBorders>
              <w:top w:val="nil"/>
              <w:left w:val="nil"/>
              <w:bottom w:val="single" w:color="auto" w:sz="4" w:space="0"/>
              <w:right w:val="single" w:color="auto" w:sz="4" w:space="0"/>
            </w:tcBorders>
            <w:shd w:val="clear" w:color="000000" w:fill="FFFFFF"/>
            <w:vAlign w:val="center"/>
          </w:tcPr>
          <w:p w14:paraId="16CB73E4">
            <w:pPr>
              <w:spacing w:line="400" w:lineRule="exact"/>
              <w:jc w:val="center"/>
              <w:rPr>
                <w:rFonts w:ascii="Times New Roman" w:hAnsi="Times New Roman"/>
                <w:sz w:val="28"/>
                <w:szCs w:val="28"/>
              </w:rPr>
            </w:pPr>
            <w:r>
              <w:rPr>
                <w:rFonts w:ascii="Times New Roman" w:hAnsi="Times New Roman"/>
                <w:sz w:val="28"/>
                <w:szCs w:val="28"/>
              </w:rPr>
              <w:t>0.3</w:t>
            </w:r>
          </w:p>
        </w:tc>
      </w:tr>
      <w:tr w14:paraId="282299C6">
        <w:tblPrEx>
          <w:tblCellMar>
            <w:top w:w="0" w:type="dxa"/>
            <w:left w:w="108" w:type="dxa"/>
            <w:bottom w:w="0" w:type="dxa"/>
            <w:right w:w="108" w:type="dxa"/>
          </w:tblCellMar>
        </w:tblPrEx>
        <w:trPr>
          <w:trHeight w:val="397" w:hRule="exact"/>
          <w:jc w:val="center"/>
        </w:trPr>
        <w:tc>
          <w:tcPr>
            <w:tcW w:w="3274" w:type="dxa"/>
            <w:gridSpan w:val="2"/>
            <w:tcBorders>
              <w:top w:val="single" w:color="auto" w:sz="4" w:space="0"/>
              <w:left w:val="single" w:color="auto" w:sz="4" w:space="0"/>
              <w:bottom w:val="single" w:color="auto" w:sz="4" w:space="0"/>
              <w:right w:val="single" w:color="auto" w:sz="4" w:space="0"/>
            </w:tcBorders>
            <w:vAlign w:val="center"/>
          </w:tcPr>
          <w:p w14:paraId="0D7D8E61">
            <w:pPr>
              <w:spacing w:line="400" w:lineRule="exact"/>
              <w:jc w:val="center"/>
              <w:rPr>
                <w:rFonts w:ascii="Times New Roman" w:hAnsi="Times New Roman"/>
                <w:kern w:val="0"/>
                <w:sz w:val="28"/>
                <w:szCs w:val="28"/>
              </w:rPr>
            </w:pPr>
            <w:r>
              <w:rPr>
                <w:rFonts w:ascii="Times New Roman" w:hAnsi="Times New Roman"/>
                <w:kern w:val="0"/>
                <w:sz w:val="28"/>
                <w:szCs w:val="28"/>
              </w:rPr>
              <w:t>合  计</w:t>
            </w:r>
          </w:p>
        </w:tc>
        <w:tc>
          <w:tcPr>
            <w:tcW w:w="1796" w:type="dxa"/>
            <w:tcBorders>
              <w:top w:val="nil"/>
              <w:left w:val="nil"/>
              <w:bottom w:val="single" w:color="auto" w:sz="4" w:space="0"/>
              <w:right w:val="single" w:color="auto" w:sz="4" w:space="0"/>
            </w:tcBorders>
            <w:vAlign w:val="center"/>
          </w:tcPr>
          <w:p w14:paraId="57F7B2F5">
            <w:pPr>
              <w:spacing w:line="400" w:lineRule="exact"/>
              <w:jc w:val="center"/>
              <w:rPr>
                <w:rFonts w:ascii="Times New Roman" w:hAnsi="Times New Roman"/>
                <w:sz w:val="28"/>
                <w:szCs w:val="28"/>
              </w:rPr>
            </w:pPr>
            <w:r>
              <w:rPr>
                <w:rFonts w:ascii="Times New Roman" w:hAnsi="Times New Roman"/>
                <w:sz w:val="28"/>
                <w:szCs w:val="28"/>
              </w:rPr>
              <w:t>258.2</w:t>
            </w:r>
          </w:p>
        </w:tc>
        <w:tc>
          <w:tcPr>
            <w:tcW w:w="1843" w:type="dxa"/>
            <w:tcBorders>
              <w:top w:val="nil"/>
              <w:left w:val="nil"/>
              <w:bottom w:val="single" w:color="auto" w:sz="4" w:space="0"/>
              <w:right w:val="single" w:color="auto" w:sz="4" w:space="0"/>
            </w:tcBorders>
            <w:vAlign w:val="center"/>
          </w:tcPr>
          <w:p w14:paraId="7BE30FA2">
            <w:pPr>
              <w:spacing w:line="400" w:lineRule="exact"/>
              <w:jc w:val="center"/>
              <w:rPr>
                <w:rFonts w:ascii="Times New Roman" w:hAnsi="Times New Roman"/>
                <w:sz w:val="28"/>
                <w:szCs w:val="28"/>
              </w:rPr>
            </w:pPr>
            <w:r>
              <w:rPr>
                <w:rFonts w:ascii="Times New Roman" w:hAnsi="Times New Roman"/>
                <w:sz w:val="28"/>
                <w:szCs w:val="28"/>
              </w:rPr>
              <w:t>132.2</w:t>
            </w:r>
          </w:p>
        </w:tc>
        <w:tc>
          <w:tcPr>
            <w:tcW w:w="1715" w:type="dxa"/>
            <w:tcBorders>
              <w:top w:val="nil"/>
              <w:left w:val="nil"/>
              <w:bottom w:val="single" w:color="auto" w:sz="4" w:space="0"/>
              <w:right w:val="single" w:color="auto" w:sz="4" w:space="0"/>
            </w:tcBorders>
            <w:vAlign w:val="center"/>
          </w:tcPr>
          <w:p w14:paraId="64DAAB14">
            <w:pPr>
              <w:spacing w:line="400" w:lineRule="exact"/>
              <w:jc w:val="center"/>
              <w:rPr>
                <w:rFonts w:ascii="Times New Roman" w:hAnsi="Times New Roman"/>
                <w:sz w:val="28"/>
                <w:szCs w:val="28"/>
              </w:rPr>
            </w:pPr>
            <w:r>
              <w:rPr>
                <w:rFonts w:ascii="Times New Roman" w:hAnsi="Times New Roman"/>
                <w:sz w:val="28"/>
                <w:szCs w:val="28"/>
              </w:rPr>
              <w:t>126</w:t>
            </w:r>
          </w:p>
        </w:tc>
      </w:tr>
    </w:tbl>
    <w:p w14:paraId="77E88784">
      <w:pPr>
        <w:pStyle w:val="4"/>
        <w:keepNext w:val="0"/>
        <w:keepLines w:val="0"/>
        <w:widowControl w:val="0"/>
        <w:spacing w:beforeLines="0" w:afterLines="0"/>
        <w:ind w:firstLine="640"/>
        <w:rPr>
          <w:rFonts w:eastAsia="方正黑体_GBK"/>
          <w:b w:val="0"/>
          <w:bCs w:val="0"/>
        </w:rPr>
      </w:pPr>
      <w:bookmarkStart w:id="107" w:name="_Toc77674804"/>
      <w:bookmarkStart w:id="108" w:name="_Toc8770"/>
    </w:p>
    <w:p w14:paraId="7D66E2BF">
      <w:pPr>
        <w:pStyle w:val="4"/>
        <w:keepNext w:val="0"/>
        <w:keepLines w:val="0"/>
        <w:widowControl w:val="0"/>
        <w:spacing w:beforeLines="0" w:afterLines="0" w:line="570" w:lineRule="exact"/>
        <w:ind w:firstLine="640"/>
        <w:rPr>
          <w:rFonts w:eastAsia="方正黑体_GBK"/>
          <w:b w:val="0"/>
          <w:bCs w:val="0"/>
        </w:rPr>
      </w:pPr>
      <w:r>
        <w:rPr>
          <w:rFonts w:eastAsia="方正黑体_GBK"/>
          <w:b w:val="0"/>
          <w:bCs w:val="0"/>
        </w:rPr>
        <w:t>二、规划效果</w:t>
      </w:r>
      <w:bookmarkEnd w:id="107"/>
      <w:bookmarkEnd w:id="108"/>
    </w:p>
    <w:p w14:paraId="299723FD">
      <w:pPr>
        <w:spacing w:line="570" w:lineRule="exact"/>
        <w:ind w:firstLine="640"/>
        <w:rPr>
          <w:rFonts w:ascii="Times New Roman" w:hAnsi="Times New Roman"/>
          <w:szCs w:val="32"/>
        </w:rPr>
      </w:pPr>
      <w:r>
        <w:rPr>
          <w:rFonts w:ascii="Times New Roman" w:hAnsi="Times New Roman"/>
          <w:szCs w:val="32"/>
        </w:rPr>
        <w:t>到2025年，基本建成成渝地区双城经济</w:t>
      </w:r>
      <w:r>
        <w:rPr>
          <w:rFonts w:hint="eastAsia" w:ascii="Times New Roman" w:hAnsi="Times New Roman"/>
          <w:szCs w:val="32"/>
        </w:rPr>
        <w:t>圈</w:t>
      </w:r>
      <w:r>
        <w:rPr>
          <w:rFonts w:ascii="Times New Roman" w:hAnsi="Times New Roman"/>
          <w:szCs w:val="32"/>
        </w:rPr>
        <w:t>沿江的重要通道、重庆重要的交通枢纽、连接</w:t>
      </w:r>
      <w:r>
        <w:rPr>
          <w:rFonts w:hint="eastAsia" w:ascii="Times New Roman" w:hAnsi="Times New Roman"/>
          <w:szCs w:val="32"/>
        </w:rPr>
        <w:t>“</w:t>
      </w:r>
      <w:r>
        <w:rPr>
          <w:rFonts w:ascii="Times New Roman" w:hAnsi="Times New Roman"/>
          <w:szCs w:val="32"/>
        </w:rPr>
        <w:t>一区两群</w:t>
      </w:r>
      <w:r>
        <w:rPr>
          <w:rFonts w:hint="eastAsia" w:ascii="Times New Roman" w:hAnsi="Times New Roman"/>
          <w:szCs w:val="32"/>
        </w:rPr>
        <w:t>”</w:t>
      </w:r>
      <w:r>
        <w:rPr>
          <w:rFonts w:ascii="Times New Roman" w:hAnsi="Times New Roman"/>
          <w:szCs w:val="32"/>
        </w:rPr>
        <w:t>的多式联运集散中心、江海直达物流基地的总体目标。综合交通基础设施网络更加完善，综合运输服务品质明显提高，现代交通治理能力显著提升，群众满意度显著提升，交通对经济产业的支撑能力显著增强。</w:t>
      </w:r>
    </w:p>
    <w:p w14:paraId="0313FBE0">
      <w:pPr>
        <w:spacing w:line="570" w:lineRule="exact"/>
        <w:ind w:firstLine="640" w:firstLineChars="200"/>
        <w:rPr>
          <w:rFonts w:ascii="Times New Roman" w:hAnsi="Times New Roman"/>
          <w:szCs w:val="32"/>
        </w:rPr>
      </w:pPr>
      <w:r>
        <w:rPr>
          <w:rFonts w:ascii="Times New Roman" w:hAnsi="Times New Roman" w:eastAsia="方正楷体_GBK"/>
          <w:szCs w:val="32"/>
        </w:rPr>
        <w:t>（一）供给能力更加充足</w:t>
      </w:r>
      <w:r>
        <w:rPr>
          <w:rFonts w:ascii="Times New Roman" w:hAnsi="Times New Roman"/>
          <w:szCs w:val="32"/>
        </w:rPr>
        <w:t>。到</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末，铁路营运里程达到98公里，高速公路在建里程达到126公里；高等级公路对乡（镇、街道）覆盖率达到100%，综合枢纽、旅游景区、工（农）业园区全部实现二级及以上公路覆盖。</w:t>
      </w:r>
    </w:p>
    <w:p w14:paraId="46E41D51">
      <w:pPr>
        <w:spacing w:line="570" w:lineRule="exact"/>
        <w:ind w:firstLine="640" w:firstLineChars="200"/>
        <w:rPr>
          <w:rFonts w:ascii="Times New Roman" w:hAnsi="Times New Roman"/>
          <w:szCs w:val="32"/>
        </w:rPr>
      </w:pPr>
      <w:r>
        <w:rPr>
          <w:rFonts w:ascii="Times New Roman" w:hAnsi="Times New Roman" w:eastAsia="方正楷体_GBK"/>
          <w:szCs w:val="32"/>
        </w:rPr>
        <w:t>（二）对外通道更加完善</w:t>
      </w:r>
      <w:r>
        <w:rPr>
          <w:rFonts w:ascii="Times New Roman" w:hAnsi="Times New Roman"/>
          <w:szCs w:val="32"/>
        </w:rPr>
        <w:t>。基本实现</w:t>
      </w:r>
      <w:r>
        <w:rPr>
          <w:rFonts w:hint="eastAsia" w:ascii="Times New Roman" w:hAnsi="Times New Roman"/>
          <w:szCs w:val="32"/>
        </w:rPr>
        <w:t>“</w:t>
      </w:r>
      <w:r>
        <w:rPr>
          <w:rFonts w:ascii="Times New Roman" w:hAnsi="Times New Roman"/>
          <w:szCs w:val="32"/>
        </w:rPr>
        <w:t>半小时重庆、2小时成都、5小时上海</w:t>
      </w:r>
      <w:r>
        <w:rPr>
          <w:rFonts w:hint="eastAsia" w:ascii="Times New Roman" w:hAnsi="Times New Roman"/>
          <w:szCs w:val="32"/>
        </w:rPr>
        <w:t>”</w:t>
      </w:r>
      <w:r>
        <w:rPr>
          <w:rFonts w:ascii="Times New Roman" w:hAnsi="Times New Roman"/>
          <w:szCs w:val="32"/>
        </w:rPr>
        <w:t>的交通出行目标。即丰都至主城实现半小时通达，丰都至成都实现2小时通达，丰都至上海实现5小时通达。丰都多通道、高标准对接成渝地区双城经济圈、一区两群，深度融入</w:t>
      </w:r>
      <w:r>
        <w:rPr>
          <w:rFonts w:hint="eastAsia" w:ascii="Times New Roman" w:hAnsi="Times New Roman"/>
          <w:szCs w:val="32"/>
          <w:lang w:eastAsia="zh-CN"/>
        </w:rPr>
        <w:t>“一带一路”</w:t>
      </w:r>
      <w:r>
        <w:rPr>
          <w:rFonts w:ascii="Times New Roman" w:hAnsi="Times New Roman"/>
          <w:szCs w:val="32"/>
        </w:rPr>
        <w:t>、长江经济带、陆海新通道等国家战略。</w:t>
      </w:r>
    </w:p>
    <w:p w14:paraId="0A25E040">
      <w:pPr>
        <w:spacing w:line="570" w:lineRule="exact"/>
        <w:ind w:firstLine="640" w:firstLineChars="200"/>
        <w:rPr>
          <w:rFonts w:ascii="Times New Roman" w:hAnsi="Times New Roman"/>
          <w:szCs w:val="32"/>
        </w:rPr>
      </w:pPr>
      <w:r>
        <w:rPr>
          <w:rFonts w:ascii="Times New Roman" w:hAnsi="Times New Roman" w:eastAsia="方正楷体_GBK"/>
          <w:szCs w:val="32"/>
        </w:rPr>
        <w:t>（三）内部网络更加畅通</w:t>
      </w:r>
      <w:r>
        <w:rPr>
          <w:rFonts w:ascii="Times New Roman" w:hAnsi="Times New Roman"/>
          <w:szCs w:val="32"/>
        </w:rPr>
        <w:t>。到</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末，通过实施</w:t>
      </w:r>
      <w:r>
        <w:rPr>
          <w:rFonts w:hint="eastAsia" w:ascii="Times New Roman" w:hAnsi="Times New Roman"/>
          <w:szCs w:val="32"/>
        </w:rPr>
        <w:t>“</w:t>
      </w:r>
      <w:r>
        <w:rPr>
          <w:rFonts w:ascii="Times New Roman" w:hAnsi="Times New Roman"/>
          <w:szCs w:val="32"/>
        </w:rPr>
        <w:t>县际通二级、镇际通三级、村际双车道、组组硬化路</w:t>
      </w:r>
      <w:r>
        <w:rPr>
          <w:rFonts w:hint="eastAsia" w:ascii="Times New Roman" w:hAnsi="Times New Roman"/>
          <w:szCs w:val="32"/>
        </w:rPr>
        <w:t>”</w:t>
      </w:r>
      <w:r>
        <w:rPr>
          <w:rFonts w:ascii="Times New Roman" w:hAnsi="Times New Roman"/>
          <w:szCs w:val="32"/>
        </w:rPr>
        <w:t>工程，新建和升级改造国省道92公里（储备项目218公里）、高速公路及重要连接线46公里，重要县乡道209公里（储备项目107公里），改建农村公路400公里（储备双车道项目200公里）。镇、街道之间多路通达，交通内循环更加畅通。</w:t>
      </w:r>
    </w:p>
    <w:p w14:paraId="24EAB31E">
      <w:pPr>
        <w:spacing w:line="570" w:lineRule="exact"/>
        <w:ind w:firstLine="640" w:firstLineChars="200"/>
        <w:rPr>
          <w:rFonts w:ascii="Times New Roman" w:hAnsi="Times New Roman"/>
          <w:szCs w:val="32"/>
        </w:rPr>
      </w:pPr>
      <w:r>
        <w:rPr>
          <w:rFonts w:ascii="Times New Roman" w:hAnsi="Times New Roman" w:eastAsia="方正楷体_GBK"/>
          <w:szCs w:val="32"/>
        </w:rPr>
        <w:t>（四）枢纽衔接更加顺畅</w:t>
      </w:r>
      <w:r>
        <w:rPr>
          <w:rFonts w:ascii="Times New Roman" w:hAnsi="Times New Roman"/>
          <w:szCs w:val="32"/>
        </w:rPr>
        <w:t>。到</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末，建成丰都县南岸综合客运中心和丰都县北岸综合客运枢纽，实现多方式零距离换乘，形成立体互联的客运体系。区内客运枢纽间的快速联通更加完善，机场铁路联络线，机场与高铁、城际铁路的联系得到加强。</w:t>
      </w:r>
    </w:p>
    <w:p w14:paraId="4172CE93">
      <w:pPr>
        <w:spacing w:line="570" w:lineRule="exact"/>
        <w:ind w:firstLine="640" w:firstLineChars="200"/>
        <w:rPr>
          <w:rFonts w:ascii="Times New Roman" w:hAnsi="Times New Roman"/>
          <w:szCs w:val="32"/>
        </w:rPr>
      </w:pPr>
      <w:r>
        <w:rPr>
          <w:rFonts w:ascii="Times New Roman" w:hAnsi="Times New Roman" w:eastAsia="方正楷体_GBK"/>
          <w:szCs w:val="32"/>
        </w:rPr>
        <w:t>（五）运输服务更加高效</w:t>
      </w:r>
      <w:r>
        <w:rPr>
          <w:rFonts w:ascii="Times New Roman" w:hAnsi="Times New Roman"/>
          <w:szCs w:val="32"/>
        </w:rPr>
        <w:t>。到</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末，优化调整一批公交线路、建设一批公交站场、投放一批电动公交车，公共交通客运服务水平明显提升。货运市场规模化、集约化水平不断提升，多式联运初显成效，农村三级物流体系基本成型，实现邮政</w:t>
      </w:r>
      <w:r>
        <w:rPr>
          <w:rFonts w:hint="eastAsia" w:ascii="Times New Roman" w:hAnsi="Times New Roman"/>
          <w:szCs w:val="32"/>
        </w:rPr>
        <w:t>“</w:t>
      </w:r>
      <w:r>
        <w:rPr>
          <w:rFonts w:ascii="Times New Roman" w:hAnsi="Times New Roman"/>
          <w:szCs w:val="32"/>
        </w:rPr>
        <w:t>村村直通邮</w:t>
      </w:r>
      <w:r>
        <w:rPr>
          <w:rFonts w:hint="eastAsia" w:ascii="Times New Roman" w:hAnsi="Times New Roman"/>
          <w:szCs w:val="32"/>
        </w:rPr>
        <w:t>”</w:t>
      </w:r>
      <w:r>
        <w:rPr>
          <w:rFonts w:ascii="Times New Roman" w:hAnsi="Times New Roman"/>
          <w:szCs w:val="32"/>
        </w:rPr>
        <w:t>、快递</w:t>
      </w:r>
      <w:r>
        <w:rPr>
          <w:rFonts w:hint="eastAsia" w:ascii="Times New Roman" w:hAnsi="Times New Roman"/>
          <w:szCs w:val="32"/>
        </w:rPr>
        <w:t>“</w:t>
      </w:r>
      <w:r>
        <w:rPr>
          <w:rFonts w:ascii="Times New Roman" w:hAnsi="Times New Roman"/>
          <w:szCs w:val="32"/>
        </w:rPr>
        <w:t>村村有网点</w:t>
      </w:r>
      <w:r>
        <w:rPr>
          <w:rFonts w:hint="eastAsia" w:ascii="Times New Roman" w:hAnsi="Times New Roman"/>
          <w:szCs w:val="32"/>
        </w:rPr>
        <w:t>”</w:t>
      </w:r>
      <w:r>
        <w:rPr>
          <w:rFonts w:ascii="Times New Roman" w:hAnsi="Times New Roman"/>
          <w:szCs w:val="32"/>
        </w:rPr>
        <w:t>。智慧绿色安全保障能力大幅提升，行业治理体系更加规范高效。</w:t>
      </w:r>
    </w:p>
    <w:p w14:paraId="0C5C0EC2">
      <w:pPr>
        <w:spacing w:line="570" w:lineRule="exact"/>
        <w:ind w:firstLine="640" w:firstLineChars="200"/>
        <w:rPr>
          <w:rFonts w:ascii="Times New Roman" w:hAnsi="Times New Roman"/>
          <w:szCs w:val="32"/>
        </w:rPr>
      </w:pPr>
    </w:p>
    <w:p w14:paraId="237D1F47">
      <w:pPr>
        <w:pStyle w:val="3"/>
        <w:spacing w:beforeLines="0" w:line="570" w:lineRule="exact"/>
        <w:rPr>
          <w:rFonts w:ascii="Times New Roman" w:hAnsi="Times New Roman" w:cs="Times New Roman"/>
          <w:b w:val="0"/>
          <w:bCs w:val="0"/>
          <w:sz w:val="36"/>
          <w:szCs w:val="36"/>
        </w:rPr>
      </w:pPr>
      <w:bookmarkStart w:id="109" w:name="_Toc3440"/>
      <w:r>
        <w:rPr>
          <w:rFonts w:ascii="Times New Roman" w:hAnsi="Times New Roman" w:cs="Times New Roman"/>
          <w:b w:val="0"/>
          <w:bCs w:val="0"/>
          <w:sz w:val="36"/>
          <w:szCs w:val="36"/>
        </w:rPr>
        <w:t>第六章  环境评价</w:t>
      </w:r>
      <w:bookmarkEnd w:id="93"/>
      <w:bookmarkEnd w:id="109"/>
    </w:p>
    <w:p w14:paraId="4A1C2886">
      <w:pPr>
        <w:pStyle w:val="3"/>
        <w:spacing w:beforeLines="0" w:line="570" w:lineRule="exact"/>
        <w:rPr>
          <w:rFonts w:ascii="Times New Roman" w:hAnsi="Times New Roman" w:cs="Times New Roman"/>
          <w:b w:val="0"/>
          <w:bCs w:val="0"/>
          <w:sz w:val="36"/>
          <w:szCs w:val="36"/>
        </w:rPr>
      </w:pPr>
    </w:p>
    <w:p w14:paraId="3FF3D26B">
      <w:pPr>
        <w:pStyle w:val="4"/>
        <w:keepNext w:val="0"/>
        <w:keepLines w:val="0"/>
        <w:widowControl w:val="0"/>
        <w:spacing w:beforeLines="0" w:afterLines="0" w:line="570" w:lineRule="exact"/>
        <w:ind w:firstLine="640"/>
        <w:rPr>
          <w:rFonts w:eastAsia="方正黑体_GBK"/>
          <w:b w:val="0"/>
          <w:bCs w:val="0"/>
          <w:kern w:val="28"/>
        </w:rPr>
      </w:pPr>
      <w:bookmarkStart w:id="110" w:name="_Toc27095"/>
      <w:bookmarkStart w:id="111" w:name="_Toc51758672"/>
      <w:r>
        <w:rPr>
          <w:rFonts w:eastAsia="方正黑体_GBK"/>
          <w:b w:val="0"/>
          <w:bCs w:val="0"/>
          <w:kern w:val="28"/>
        </w:rPr>
        <w:t>一、环境影响分析</w:t>
      </w:r>
      <w:bookmarkEnd w:id="110"/>
      <w:bookmarkEnd w:id="111"/>
    </w:p>
    <w:p w14:paraId="0C6FEDE0">
      <w:pPr>
        <w:spacing w:line="570" w:lineRule="exact"/>
        <w:ind w:firstLine="640" w:firstLineChars="200"/>
        <w:rPr>
          <w:rFonts w:ascii="Times New Roman" w:hAnsi="Times New Roman"/>
          <w:szCs w:val="32"/>
        </w:rPr>
      </w:pPr>
      <w:r>
        <w:rPr>
          <w:rFonts w:ascii="Times New Roman" w:hAnsi="Times New Roman" w:eastAsia="方正楷体_GBK"/>
          <w:szCs w:val="32"/>
        </w:rPr>
        <w:t>（一）生态影响分析</w:t>
      </w:r>
      <w:r>
        <w:rPr>
          <w:rFonts w:ascii="Times New Roman" w:hAnsi="Times New Roman"/>
          <w:szCs w:val="32"/>
        </w:rPr>
        <w:t>。规划航道整治、港区码头建设以及铁路、公路跨河桥梁工程将对水域生态系统产生一定不良影响，工程完工后随着泥沙的淤积，这种影响将逐步消失。交通发展会带来一系列不利影响，如噪声污染、大气污染、占地拆迁等。规划中铁路、公路等项目为线性工程，容易对生态功能区造成分割，影响部分区域的生态完整性，对线路范围内的生态系统造成一定的影响，但是由于路基宽度有限，相对于重要生态功能区来说，对其生态功能影响较小，不会造成区域生态功能的整体退化。</w:t>
      </w:r>
    </w:p>
    <w:p w14:paraId="11E188A4">
      <w:pPr>
        <w:spacing w:line="570" w:lineRule="exact"/>
        <w:ind w:firstLine="640" w:firstLineChars="200"/>
        <w:rPr>
          <w:rFonts w:ascii="Times New Roman" w:hAnsi="Times New Roman"/>
          <w:szCs w:val="32"/>
        </w:rPr>
      </w:pPr>
      <w:r>
        <w:rPr>
          <w:rFonts w:ascii="Times New Roman" w:hAnsi="Times New Roman" w:eastAsia="方正楷体_GBK"/>
          <w:szCs w:val="32"/>
        </w:rPr>
        <w:t>（二）主要生态敏感区影响分析</w:t>
      </w:r>
      <w:r>
        <w:rPr>
          <w:rFonts w:ascii="Times New Roman" w:hAnsi="Times New Roman"/>
          <w:szCs w:val="32"/>
        </w:rPr>
        <w:t>。部分省县级公路由于历史原因，临近自然保护区保护范围，应当采取措施尽量减轻工程施工对自然保护区内保护动物及自然保护区生态环境的影响。对于穿越风景名胜区的建设项目，可能造成风景名胜区旅游景观的破坏，使得区域景观在空间上不再连续，出现破碎和分割。对于临近风景名胜区的铁路、公路项目，其建设对其核心景区的影响较小，项目建设将促进风景名胜区旅游业的发展。因此，在规划实施过程中，应重视交通项目的选址选线，尽量避让风景名胜区的核心景区，涉及风景名胜区的道路应该符合景区规划，应当经风景名胜区管理机构审核后，依照有关法律、法规的规定办理审批手续。在保障景区质量的基础上，合理布设项目线路，促进当地旅游业的发展。对于穿越森林公园的铁路、公路等交通建设项目，实施中可能造成原有的森林景观被分割为多个板块，影响生态系统完整性。对于临近森林公园的铁路、公路等项目，对森林公园的植被影响较小，未对景观造成切割影响。因此，本次规划实施中应尽量避让森林公园植被良好的中心区域，在不得不穿越森林公园范围时，尽量沿森林公园外围布线，减少对森林公园中心区域的扰动。规划实施过程中应尽量避让湿地公园范围，特别是生态保育区鸟类集中分布及繁殖地。若无法避让，应增加桥梁、涵洞工程，施工期禁止向湿地范围排放生产废水，设置临时工程，避免造成湿地生态系统功能的退化，妨碍湿地范围内动物的栖息和生存。</w:t>
      </w:r>
    </w:p>
    <w:p w14:paraId="6E39729F">
      <w:pPr>
        <w:spacing w:line="570" w:lineRule="exact"/>
        <w:ind w:firstLine="640" w:firstLineChars="200"/>
        <w:rPr>
          <w:rFonts w:ascii="Times New Roman" w:hAnsi="Times New Roman"/>
          <w:szCs w:val="32"/>
        </w:rPr>
      </w:pPr>
      <w:r>
        <w:rPr>
          <w:rFonts w:ascii="Times New Roman" w:hAnsi="Times New Roman" w:eastAsia="方正楷体_GBK"/>
          <w:szCs w:val="32"/>
        </w:rPr>
        <w:t>（三）水环境影响分析</w:t>
      </w:r>
      <w:r>
        <w:rPr>
          <w:rFonts w:ascii="Times New Roman" w:hAnsi="Times New Roman"/>
          <w:szCs w:val="32"/>
        </w:rPr>
        <w:t>。本次规划中包含水运项目、机场项目和枢纽场站项目，项目主要是房建工程挖方可能对地下水环境产生影响，由于项目房建挖方深度较浅，一般只是对表层的潜水产生影响，对深层的承压水不会造成污染，房建工程的占地范围有限，污染物质较简单，通过土壤的过滤作用，对地下水水质的影响较小。</w:t>
      </w:r>
    </w:p>
    <w:p w14:paraId="1998BAD3">
      <w:pPr>
        <w:spacing w:line="570" w:lineRule="exact"/>
        <w:ind w:firstLine="640" w:firstLineChars="200"/>
        <w:rPr>
          <w:rFonts w:ascii="Times New Roman" w:hAnsi="Times New Roman"/>
          <w:szCs w:val="32"/>
        </w:rPr>
      </w:pPr>
      <w:r>
        <w:rPr>
          <w:rFonts w:ascii="Times New Roman" w:hAnsi="Times New Roman" w:eastAsia="方正楷体_GBK"/>
          <w:szCs w:val="32"/>
        </w:rPr>
        <w:t>（四）环境空气影响分析</w:t>
      </w:r>
      <w:r>
        <w:rPr>
          <w:rFonts w:ascii="Times New Roman" w:hAnsi="Times New Roman"/>
          <w:szCs w:val="32"/>
        </w:rPr>
        <w:t>。</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综合交通规划实施后，各种运输方式仍会对环境空气造成影响。如公路行驶车辆尾气，港口装卸产生粉尘、油品运输和装卸产生的油气，飞机、船舶烟气，枢纽站场汽车尾气、装卸粉尘等。均采用清洁能源、安装油烟净化装置等措施控制，其影响很小。</w:t>
      </w:r>
    </w:p>
    <w:p w14:paraId="69D2D914">
      <w:pPr>
        <w:spacing w:line="570" w:lineRule="exact"/>
        <w:ind w:firstLine="640" w:firstLineChars="200"/>
        <w:rPr>
          <w:rFonts w:ascii="Times New Roman" w:hAnsi="Times New Roman"/>
          <w:szCs w:val="32"/>
        </w:rPr>
      </w:pPr>
      <w:r>
        <w:rPr>
          <w:rFonts w:ascii="Times New Roman" w:hAnsi="Times New Roman" w:eastAsia="方正楷体_GBK"/>
          <w:szCs w:val="32"/>
        </w:rPr>
        <w:t>（五）声环境影响分析</w:t>
      </w:r>
      <w:r>
        <w:rPr>
          <w:rFonts w:ascii="Times New Roman" w:hAnsi="Times New Roman"/>
          <w:szCs w:val="32"/>
        </w:rPr>
        <w:t>。铁路项目运营期产生的噪声主要是牵引动力噪声、轮轨噪声和空气动力性噪声，对沿线的居民点、村庄、学校、医院的声环境造成影响。公路项目运营期产生的噪声主要由动力噪声和轮胎噪声两部分构成水运项目对营运期产生的噪声主要是船舶运行噪声包括发动机噪声和鸣笛噪声及港口码头运行的生产设备噪声。</w:t>
      </w:r>
    </w:p>
    <w:p w14:paraId="55297CFD">
      <w:pPr>
        <w:pStyle w:val="4"/>
        <w:keepNext w:val="0"/>
        <w:keepLines w:val="0"/>
        <w:widowControl w:val="0"/>
        <w:spacing w:beforeLines="0" w:afterLines="0" w:line="570" w:lineRule="exact"/>
        <w:ind w:firstLine="640"/>
        <w:rPr>
          <w:rFonts w:eastAsia="方正黑体_GBK"/>
          <w:b w:val="0"/>
          <w:bCs w:val="0"/>
          <w:kern w:val="28"/>
        </w:rPr>
      </w:pPr>
      <w:bookmarkStart w:id="112" w:name="_Toc51758673"/>
      <w:bookmarkStart w:id="113" w:name="_Toc9725"/>
      <w:r>
        <w:rPr>
          <w:rFonts w:eastAsia="方正黑体_GBK"/>
          <w:b w:val="0"/>
          <w:bCs w:val="0"/>
          <w:kern w:val="28"/>
        </w:rPr>
        <w:t>二、环境影响对策</w:t>
      </w:r>
      <w:bookmarkEnd w:id="112"/>
      <w:bookmarkEnd w:id="113"/>
    </w:p>
    <w:p w14:paraId="521577F8">
      <w:pPr>
        <w:spacing w:line="570" w:lineRule="exact"/>
        <w:ind w:firstLine="640" w:firstLineChars="200"/>
        <w:rPr>
          <w:rFonts w:ascii="Times New Roman" w:hAnsi="Times New Roman"/>
          <w:szCs w:val="32"/>
        </w:rPr>
      </w:pPr>
      <w:r>
        <w:rPr>
          <w:rFonts w:ascii="Times New Roman" w:hAnsi="Times New Roman" w:eastAsia="方正楷体_GBK"/>
          <w:szCs w:val="32"/>
        </w:rPr>
        <w:t>（一）生态环境方面</w:t>
      </w:r>
      <w:r>
        <w:rPr>
          <w:rFonts w:ascii="Times New Roman" w:hAnsi="Times New Roman"/>
          <w:szCs w:val="32"/>
        </w:rPr>
        <w:t>。公路、铁路对山地森林生态系统、水域生态系统、农业复合生态系统、城市生态系统、村镇生态系统分别采取生态恢复、挡土墙路堤、桥梁穿越、占补平衡补偿等措施、减轻对生态环境的影响。水运项目采用鱼类增殖放流、鱼类其他恢复补偿措施。</w:t>
      </w:r>
    </w:p>
    <w:p w14:paraId="586D4555">
      <w:pPr>
        <w:spacing w:line="570" w:lineRule="exact"/>
        <w:ind w:firstLine="640" w:firstLineChars="200"/>
        <w:rPr>
          <w:rFonts w:ascii="Times New Roman" w:hAnsi="Times New Roman"/>
          <w:szCs w:val="32"/>
        </w:rPr>
      </w:pPr>
      <w:r>
        <w:rPr>
          <w:rFonts w:ascii="Times New Roman" w:hAnsi="Times New Roman" w:eastAsia="方正楷体_GBK"/>
          <w:szCs w:val="32"/>
        </w:rPr>
        <w:t>（二）水环境方面</w:t>
      </w:r>
      <w:r>
        <w:rPr>
          <w:rFonts w:ascii="Times New Roman" w:hAnsi="Times New Roman"/>
          <w:szCs w:val="32"/>
        </w:rPr>
        <w:t>。公路服务区、收费站等沿线设施产生的生活污水，若其附近有城市污水管网，则经生化池处理后就近接入管网，送城市二级污水处理厂处理或处理达标后回用于沿线绿化，不外排。舱底油污水送船舶污水接收船或岸上的油污水接收单位接收处理。正常工况下工程对地下水影响较小，在风险事故状态下及时采取封闭、截流等保护措施。</w:t>
      </w:r>
    </w:p>
    <w:p w14:paraId="13D82624">
      <w:pPr>
        <w:spacing w:line="570" w:lineRule="exact"/>
        <w:ind w:firstLine="640" w:firstLineChars="200"/>
        <w:rPr>
          <w:rFonts w:ascii="Times New Roman" w:hAnsi="Times New Roman"/>
          <w:szCs w:val="32"/>
        </w:rPr>
      </w:pPr>
      <w:r>
        <w:rPr>
          <w:rFonts w:ascii="Times New Roman" w:hAnsi="Times New Roman" w:eastAsia="方正楷体_GBK"/>
          <w:szCs w:val="32"/>
        </w:rPr>
        <w:t>（三）环境空气方面</w:t>
      </w:r>
      <w:r>
        <w:rPr>
          <w:rFonts w:ascii="Times New Roman" w:hAnsi="Times New Roman"/>
          <w:szCs w:val="32"/>
        </w:rPr>
        <w:t xml:space="preserve">。沿线服务设施及枢纽站场采用清洁能源，不得设置燃煤锅炉，对沿线设施的餐厅加装油烟净化装置。公路运营期间，加强道路管理和路面养护，保持道路良好运营状态，并加强绿洲路段公路两侧的植树绿化。对于油品吞吐港区和机场油罐区，其油气挥发控制措施主要包括清洁生产技术和污染控制措施。清洁生产技术主要包括浮顶罐储存技术（减少油罐呼吸损耗）、密闭装车回收油气技术、降温技术等措施。污染控制措施主要包括油类分类储存管理、喷淋降温等，并加强管理，做好设备维修与维护，防止跑冒滴漏，减少挥发性烃类气体。 </w:t>
      </w:r>
    </w:p>
    <w:p w14:paraId="54F22AE5">
      <w:pPr>
        <w:spacing w:line="570" w:lineRule="exact"/>
        <w:ind w:firstLine="640" w:firstLineChars="200"/>
        <w:rPr>
          <w:rFonts w:ascii="Times New Roman" w:hAnsi="Times New Roman"/>
          <w:szCs w:val="32"/>
        </w:rPr>
      </w:pPr>
      <w:r>
        <w:rPr>
          <w:rFonts w:ascii="Times New Roman" w:hAnsi="Times New Roman" w:eastAsia="方正楷体_GBK"/>
          <w:szCs w:val="32"/>
        </w:rPr>
        <w:t>（四）声环境方面</w:t>
      </w:r>
      <w:r>
        <w:rPr>
          <w:rFonts w:ascii="Times New Roman" w:hAnsi="Times New Roman"/>
          <w:szCs w:val="32"/>
        </w:rPr>
        <w:t>。在铁路、公路建筑控制区以内应按有关规定限制建设新的敏感建筑物，特别是居民住宅建筑物等。在铁路、公路沿线附近的居民区、学校、医院等声环境敏感目标，当交通噪声对其有严重干扰时，应在相应的铁路、公路的路侧设置声屏障。水运项目：港口码头项目疏港道路设置减速带、限速标志和禁止鸣笛标志，控制运输车辆行驶速度，降低交通噪声。机场项目：对超标的敏感目标采取隔声措施，安装隔声窗，对代表性敏感点进行飞机噪声跟踪监测，并及时采取补救降噪措施。</w:t>
      </w:r>
      <w:bookmarkStart w:id="114" w:name="_Toc51758674"/>
    </w:p>
    <w:p w14:paraId="49ADF918">
      <w:pPr>
        <w:spacing w:line="570" w:lineRule="exact"/>
        <w:ind w:firstLine="640" w:firstLineChars="200"/>
        <w:rPr>
          <w:rFonts w:ascii="Times New Roman" w:hAnsi="Times New Roman"/>
          <w:szCs w:val="32"/>
        </w:rPr>
      </w:pPr>
    </w:p>
    <w:p w14:paraId="7ACA70F4">
      <w:pPr>
        <w:pStyle w:val="3"/>
        <w:spacing w:beforeLines="0" w:line="570" w:lineRule="exact"/>
        <w:rPr>
          <w:rFonts w:ascii="Times New Roman" w:hAnsi="Times New Roman" w:cs="Times New Roman"/>
          <w:b w:val="0"/>
          <w:bCs w:val="0"/>
          <w:sz w:val="36"/>
          <w:szCs w:val="36"/>
        </w:rPr>
      </w:pPr>
      <w:bookmarkStart w:id="115" w:name="_Toc15333"/>
      <w:r>
        <w:rPr>
          <w:rFonts w:ascii="Times New Roman" w:hAnsi="Times New Roman" w:cs="Times New Roman"/>
          <w:b w:val="0"/>
          <w:bCs w:val="0"/>
          <w:sz w:val="36"/>
          <w:szCs w:val="36"/>
        </w:rPr>
        <w:t>第七章  保障措施</w:t>
      </w:r>
      <w:bookmarkEnd w:id="114"/>
      <w:bookmarkEnd w:id="115"/>
    </w:p>
    <w:p w14:paraId="016DA23B">
      <w:pPr>
        <w:pStyle w:val="3"/>
        <w:spacing w:beforeLines="0" w:line="570" w:lineRule="exact"/>
        <w:rPr>
          <w:rFonts w:ascii="Times New Roman" w:hAnsi="Times New Roman" w:eastAsia="方正仿宋_GBK" w:cs="Times New Roman"/>
          <w:b w:val="0"/>
          <w:bCs w:val="0"/>
          <w:szCs w:val="32"/>
        </w:rPr>
      </w:pPr>
    </w:p>
    <w:p w14:paraId="1F4EC33C">
      <w:pPr>
        <w:spacing w:line="570" w:lineRule="exact"/>
        <w:ind w:firstLine="640" w:firstLineChars="200"/>
        <w:rPr>
          <w:rFonts w:ascii="Times New Roman" w:hAnsi="Times New Roman" w:eastAsia="方正黑体_GBK"/>
          <w:szCs w:val="32"/>
        </w:rPr>
      </w:pPr>
      <w:r>
        <w:rPr>
          <w:rFonts w:ascii="Times New Roman" w:hAnsi="Times New Roman" w:eastAsia="方正黑体_GBK"/>
          <w:szCs w:val="32"/>
        </w:rPr>
        <w:t>一、加强组织领导</w:t>
      </w:r>
    </w:p>
    <w:p w14:paraId="034E5F6F">
      <w:pPr>
        <w:spacing w:line="570" w:lineRule="exact"/>
        <w:ind w:firstLine="640" w:firstLineChars="200"/>
        <w:rPr>
          <w:rFonts w:ascii="Times New Roman" w:hAnsi="Times New Roman"/>
          <w:szCs w:val="32"/>
        </w:rPr>
      </w:pPr>
      <w:r>
        <w:rPr>
          <w:rFonts w:ascii="Times New Roman" w:hAnsi="Times New Roman"/>
          <w:szCs w:val="32"/>
        </w:rPr>
        <w:t>成立丰都县交通强国领导小组，强化顶层设计，进一步深化丰都交通管理养护体制改革。全面推行</w:t>
      </w:r>
      <w:r>
        <w:rPr>
          <w:rFonts w:hint="eastAsia" w:ascii="Times New Roman" w:hAnsi="Times New Roman"/>
          <w:szCs w:val="32"/>
        </w:rPr>
        <w:t>“</w:t>
      </w:r>
      <w:r>
        <w:rPr>
          <w:rFonts w:ascii="Times New Roman" w:hAnsi="Times New Roman"/>
          <w:szCs w:val="32"/>
        </w:rPr>
        <w:t>路长制</w:t>
      </w:r>
      <w:r>
        <w:rPr>
          <w:rFonts w:hint="eastAsia" w:ascii="Times New Roman" w:hAnsi="Times New Roman"/>
          <w:szCs w:val="32"/>
        </w:rPr>
        <w:t>”</w:t>
      </w:r>
      <w:r>
        <w:rPr>
          <w:rFonts w:ascii="Times New Roman" w:hAnsi="Times New Roman"/>
          <w:szCs w:val="32"/>
        </w:rPr>
        <w:t>，构建</w:t>
      </w:r>
      <w:r>
        <w:rPr>
          <w:rFonts w:hint="eastAsia" w:ascii="Times New Roman" w:hAnsi="Times New Roman"/>
          <w:szCs w:val="32"/>
        </w:rPr>
        <w:t>“</w:t>
      </w:r>
      <w:r>
        <w:rPr>
          <w:rFonts w:ascii="Times New Roman" w:hAnsi="Times New Roman"/>
          <w:szCs w:val="32"/>
        </w:rPr>
        <w:t>畅、安、舒、美</w:t>
      </w:r>
      <w:r>
        <w:rPr>
          <w:rFonts w:hint="eastAsia" w:ascii="Times New Roman" w:hAnsi="Times New Roman"/>
          <w:szCs w:val="32"/>
        </w:rPr>
        <w:t>”</w:t>
      </w:r>
      <w:r>
        <w:rPr>
          <w:rFonts w:ascii="Times New Roman" w:hAnsi="Times New Roman"/>
          <w:szCs w:val="32"/>
        </w:rPr>
        <w:t>的交通管护环境。深化</w:t>
      </w:r>
      <w:r>
        <w:rPr>
          <w:rFonts w:hint="eastAsia" w:ascii="Times New Roman" w:hAnsi="Times New Roman"/>
          <w:szCs w:val="32"/>
          <w:lang w:eastAsia="zh-CN"/>
        </w:rPr>
        <w:t>“放管服”改革</w:t>
      </w:r>
      <w:r>
        <w:rPr>
          <w:rFonts w:ascii="Times New Roman" w:hAnsi="Times New Roman"/>
          <w:szCs w:val="32"/>
        </w:rPr>
        <w:t>，围绕</w:t>
      </w:r>
      <w:r>
        <w:rPr>
          <w:rFonts w:hint="eastAsia" w:ascii="Times New Roman" w:hAnsi="Times New Roman"/>
          <w:szCs w:val="32"/>
        </w:rPr>
        <w:t>“</w:t>
      </w:r>
      <w:r>
        <w:rPr>
          <w:rFonts w:ascii="Times New Roman" w:hAnsi="Times New Roman"/>
          <w:szCs w:val="32"/>
        </w:rPr>
        <w:t>依法治交、齐抓共管、共建共享</w:t>
      </w:r>
      <w:r>
        <w:rPr>
          <w:rFonts w:hint="eastAsia" w:ascii="Times New Roman" w:hAnsi="Times New Roman"/>
          <w:szCs w:val="32"/>
        </w:rPr>
        <w:t>”</w:t>
      </w:r>
      <w:r>
        <w:rPr>
          <w:rFonts w:ascii="Times New Roman" w:hAnsi="Times New Roman"/>
          <w:szCs w:val="32"/>
        </w:rPr>
        <w:t>治理思路，坚持以人民为中心，充分运用村民自治，进一步提升治理能力和治理水平，让道路成风景，建设人民满意交通。</w:t>
      </w:r>
    </w:p>
    <w:p w14:paraId="66871AA4">
      <w:pPr>
        <w:spacing w:line="570" w:lineRule="exact"/>
        <w:ind w:firstLine="640" w:firstLineChars="200"/>
        <w:rPr>
          <w:rFonts w:ascii="Times New Roman" w:hAnsi="Times New Roman" w:eastAsia="方正黑体_GBK"/>
          <w:szCs w:val="32"/>
        </w:rPr>
      </w:pPr>
      <w:r>
        <w:rPr>
          <w:rFonts w:ascii="Times New Roman" w:hAnsi="Times New Roman" w:eastAsia="方正黑体_GBK"/>
          <w:szCs w:val="32"/>
        </w:rPr>
        <w:t>二、用好政策支持</w:t>
      </w:r>
    </w:p>
    <w:p w14:paraId="06B9ABCC">
      <w:pPr>
        <w:spacing w:line="570" w:lineRule="exact"/>
        <w:ind w:firstLine="640" w:firstLineChars="200"/>
        <w:rPr>
          <w:rFonts w:ascii="Times New Roman" w:hAnsi="Times New Roman"/>
          <w:szCs w:val="32"/>
        </w:rPr>
      </w:pPr>
      <w:r>
        <w:rPr>
          <w:rFonts w:ascii="Times New Roman" w:hAnsi="Times New Roman"/>
          <w:szCs w:val="32"/>
        </w:rPr>
        <w:t>加大汇报衔接力度，强化本规划与《重庆市综合交通运输</w:t>
      </w:r>
      <w:r>
        <w:rPr>
          <w:rFonts w:hint="eastAsia" w:ascii="Times New Roman" w:hAnsi="Times New Roman"/>
          <w:szCs w:val="32"/>
        </w:rPr>
        <w:t>“</w:t>
      </w:r>
      <w:r>
        <w:rPr>
          <w:rFonts w:ascii="Times New Roman" w:hAnsi="Times New Roman"/>
          <w:szCs w:val="32"/>
        </w:rPr>
        <w:t>十四五</w:t>
      </w:r>
      <w:r>
        <w:rPr>
          <w:rFonts w:hint="eastAsia" w:ascii="Times New Roman" w:hAnsi="Times New Roman"/>
          <w:szCs w:val="32"/>
        </w:rPr>
        <w:t>”</w:t>
      </w:r>
      <w:r>
        <w:rPr>
          <w:rFonts w:ascii="Times New Roman" w:hAnsi="Times New Roman"/>
          <w:szCs w:val="32"/>
        </w:rPr>
        <w:t>发展规划》《重庆市综合立体交通网规划》及成渝地区双城经济圈相关规划等上位规划的对接，主动争取更多项目纳入国家和市级规划。积极争取《重庆市人民政府办公厅关于印发支持交通强市建设若干政策措施的通知》（渝府办发〔2021〕107号）中健全交通强市规划体系和衔接机制、加强交通建设资金保障和投融资政策支持、优化交通项目前期审批流程、加强交通项目建设用地等资源要素保障、推动交通建管养运高质量协调发展、支持智慧交通创新发展、支持完善交通行业法规标准体系等政策支持，并用好用活各项政策，破解项目前期工作繁琐，基础设施项目用地困难及生态环境保护与交通基础设施发展的关系等难题。</w:t>
      </w:r>
    </w:p>
    <w:p w14:paraId="147A1D1B">
      <w:pPr>
        <w:numPr>
          <w:ilvl w:val="0"/>
          <w:numId w:val="3"/>
        </w:numPr>
        <w:spacing w:line="570" w:lineRule="exact"/>
        <w:ind w:firstLine="640" w:firstLineChars="200"/>
        <w:rPr>
          <w:rFonts w:ascii="Times New Roman" w:hAnsi="Times New Roman" w:eastAsia="方正黑体_GBK"/>
          <w:szCs w:val="32"/>
        </w:rPr>
      </w:pPr>
      <w:r>
        <w:rPr>
          <w:rFonts w:ascii="Times New Roman" w:hAnsi="Times New Roman" w:eastAsia="方正黑体_GBK"/>
          <w:szCs w:val="32"/>
        </w:rPr>
        <w:t>拓展投融资渠道</w:t>
      </w:r>
    </w:p>
    <w:p w14:paraId="41A1E9E9">
      <w:pPr>
        <w:spacing w:line="570" w:lineRule="exact"/>
        <w:ind w:firstLine="640" w:firstLineChars="200"/>
        <w:rPr>
          <w:rFonts w:ascii="Times New Roman" w:hAnsi="Times New Roman"/>
          <w:szCs w:val="32"/>
        </w:rPr>
      </w:pPr>
      <w:r>
        <w:rPr>
          <w:rFonts w:ascii="Times New Roman" w:hAnsi="Times New Roman"/>
          <w:szCs w:val="32"/>
        </w:rPr>
        <w:t>联合周边积极争取国家及两省市政策倾斜和资金扶持。在积极争取国家资金补助基础上，深化交通投融资改革，增强可持续发展能力，完善政府主导、多元筹资、风险可控的资金保障和运行管理体制，加强资金、资源、资产的统 筹和管理，发挥资金合力和放大效益。鼓励采用多元化市场融资方式拓宽融资渠道，积极采取BOT+EPC、BOT+政府补贴等PPP模式，积极引导社会资本参与交通建设，强化风险防控机制建设。</w:t>
      </w:r>
    </w:p>
    <w:p w14:paraId="160871F8">
      <w:pPr>
        <w:numPr>
          <w:ilvl w:val="0"/>
          <w:numId w:val="3"/>
        </w:numPr>
        <w:spacing w:line="570" w:lineRule="exact"/>
        <w:ind w:firstLine="640" w:firstLineChars="200"/>
        <w:rPr>
          <w:rFonts w:ascii="Times New Roman" w:hAnsi="Times New Roman" w:eastAsia="方正黑体_GBK"/>
          <w:szCs w:val="32"/>
        </w:rPr>
      </w:pPr>
      <w:r>
        <w:rPr>
          <w:rFonts w:ascii="Times New Roman" w:hAnsi="Times New Roman" w:eastAsia="方正黑体_GBK"/>
          <w:szCs w:val="32"/>
        </w:rPr>
        <w:t>优化人才队伍</w:t>
      </w:r>
    </w:p>
    <w:p w14:paraId="30D433BD">
      <w:pPr>
        <w:spacing w:line="570" w:lineRule="exact"/>
        <w:ind w:firstLine="640" w:firstLineChars="200"/>
        <w:rPr>
          <w:rFonts w:ascii="Times New Roman" w:hAnsi="Times New Roman"/>
          <w:szCs w:val="32"/>
        </w:rPr>
      </w:pPr>
      <w:r>
        <w:rPr>
          <w:rFonts w:ascii="Times New Roman" w:hAnsi="Times New Roman"/>
          <w:szCs w:val="32"/>
        </w:rPr>
        <w:t>通过</w:t>
      </w:r>
      <w:r>
        <w:rPr>
          <w:rFonts w:hint="eastAsia" w:ascii="Times New Roman" w:hAnsi="Times New Roman"/>
          <w:szCs w:val="32"/>
        </w:rPr>
        <w:t>“</w:t>
      </w:r>
      <w:r>
        <w:rPr>
          <w:rFonts w:ascii="Times New Roman" w:hAnsi="Times New Roman"/>
          <w:szCs w:val="32"/>
        </w:rPr>
        <w:t>引进来</w:t>
      </w:r>
      <w:r>
        <w:rPr>
          <w:rFonts w:hint="eastAsia" w:ascii="Times New Roman" w:hAnsi="Times New Roman"/>
          <w:szCs w:val="32"/>
        </w:rPr>
        <w:t>”“</w:t>
      </w:r>
      <w:r>
        <w:rPr>
          <w:rFonts w:ascii="Times New Roman" w:hAnsi="Times New Roman"/>
          <w:szCs w:val="32"/>
        </w:rPr>
        <w:t>走出去</w:t>
      </w:r>
      <w:r>
        <w:rPr>
          <w:rFonts w:hint="eastAsia" w:ascii="Times New Roman" w:hAnsi="Times New Roman"/>
          <w:szCs w:val="32"/>
        </w:rPr>
        <w:t>”</w:t>
      </w:r>
      <w:r>
        <w:rPr>
          <w:rFonts w:ascii="Times New Roman" w:hAnsi="Times New Roman"/>
          <w:szCs w:val="32"/>
        </w:rPr>
        <w:t>、联合培养等多种模式，着力培养一支掌握科学管理知识、有现代经营理念的管理人才队伍，建立起善于拓展研究、掌握先进技术的高级别人才团队，并保证基层人员具有业务熟练、服务到位，敬岗爱业的职业素质；完善人才引进机制，加大人才引进激励力度，引进一批技术领域高端人才；定期开展国内和国际学习、交流和培训，学习国际先进交通运营管理经验与理念，加速提升人才队伍管理水平。</w:t>
      </w:r>
    </w:p>
    <w:p w14:paraId="2F939094">
      <w:pPr>
        <w:pStyle w:val="2"/>
        <w:spacing w:line="570" w:lineRule="exact"/>
        <w:ind w:firstLine="640" w:firstLineChars="200"/>
        <w:rPr>
          <w:rFonts w:eastAsia="方正仿宋_GBK"/>
          <w:szCs w:val="32"/>
        </w:rPr>
      </w:pPr>
    </w:p>
    <w:p w14:paraId="77406D23">
      <w:pPr>
        <w:pStyle w:val="2"/>
        <w:spacing w:line="570" w:lineRule="exact"/>
        <w:ind w:left="1600" w:leftChars="200" w:hanging="960" w:hangingChars="300"/>
        <w:rPr>
          <w:rFonts w:eastAsia="方正仿宋_GBK"/>
          <w:szCs w:val="32"/>
        </w:rPr>
      </w:pPr>
      <w:r>
        <w:rPr>
          <w:rFonts w:eastAsia="方正仿宋_GBK"/>
          <w:szCs w:val="32"/>
        </w:rPr>
        <w:t>附件：</w:t>
      </w:r>
      <w:r>
        <w:rPr>
          <w:rFonts w:hint="eastAsia" w:eastAsia="方正仿宋_GBK"/>
          <w:szCs w:val="32"/>
        </w:rPr>
        <w:t xml:space="preserve">1. </w:t>
      </w:r>
      <w:r>
        <w:rPr>
          <w:rFonts w:eastAsia="方正仿宋_GBK"/>
        </w:rPr>
        <w:t>丰都县“十四五”综合交通规划正选库项目表</w:t>
      </w:r>
    </w:p>
    <w:p w14:paraId="12B56A81">
      <w:pPr>
        <w:spacing w:line="570" w:lineRule="exact"/>
        <w:rPr>
          <w:rFonts w:ascii="Times New Roman" w:hAnsi="Times New Roman"/>
        </w:rPr>
      </w:pPr>
      <w:r>
        <w:rPr>
          <w:rFonts w:ascii="Times New Roman" w:hAnsi="Times New Roman"/>
        </w:rPr>
        <w:t xml:space="preserve">          2. </w:t>
      </w:r>
      <w:r>
        <w:rPr>
          <w:rFonts w:hint="eastAsia" w:ascii="Times New Roman" w:hAnsi="Times New Roman"/>
        </w:rPr>
        <w:t>附图</w:t>
      </w:r>
    </w:p>
    <w:p w14:paraId="329133CB">
      <w:pPr>
        <w:pStyle w:val="2"/>
      </w:pPr>
    </w:p>
    <w:p w14:paraId="73D74802">
      <w:pPr>
        <w:pStyle w:val="2"/>
        <w:ind w:firstLine="0"/>
        <w:rPr>
          <w:rFonts w:ascii="方正黑体_GBK" w:hAnsi="方正黑体_GBK" w:eastAsia="方正黑体_GBK" w:cs="方正黑体_GBK"/>
        </w:rPr>
        <w:sectPr>
          <w:footerReference r:id="rId14" w:type="default"/>
          <w:footerReference r:id="rId15" w:type="even"/>
          <w:pgSz w:w="11906" w:h="16838"/>
          <w:pgMar w:top="2098" w:right="1531" w:bottom="1984" w:left="1531" w:header="851" w:footer="992" w:gutter="0"/>
          <w:cols w:space="0" w:num="1"/>
          <w:docGrid w:type="lines" w:linePitch="440" w:charSpace="0"/>
        </w:sectPr>
      </w:pPr>
    </w:p>
    <w:p w14:paraId="0E3F4C72">
      <w:pPr>
        <w:pStyle w:val="2"/>
        <w:ind w:firstLine="0"/>
        <w:rPr>
          <w:rFonts w:ascii="方正黑体_GBK" w:hAnsi="方正黑体_GBK" w:eastAsia="方正黑体_GBK" w:cs="方正黑体_GBK"/>
        </w:rPr>
      </w:pPr>
      <w:r>
        <w:rPr>
          <w:rFonts w:hint="eastAsia" w:ascii="方正黑体_GBK" w:hAnsi="方正黑体_GBK" w:eastAsia="方正黑体_GBK" w:cs="方正黑体_GBK"/>
        </w:rPr>
        <w:t>附件1</w:t>
      </w:r>
    </w:p>
    <w:p w14:paraId="3CECB8CD">
      <w:pPr>
        <w:pStyle w:val="2"/>
        <w:ind w:firstLine="0"/>
        <w:jc w:val="center"/>
        <w:rPr>
          <w:rFonts w:ascii="方正黑体_GBK" w:hAnsi="方正黑体_GBK" w:eastAsia="方正黑体_GBK" w:cs="方正黑体_GBK"/>
        </w:rPr>
      </w:pPr>
      <w:r>
        <w:rPr>
          <w:rStyle w:val="20"/>
          <w:rFonts w:hint="default"/>
        </w:rPr>
        <w:t>丰都县“十四五”综合交通规划正选库项目表</w:t>
      </w:r>
    </w:p>
    <w:tbl>
      <w:tblPr>
        <w:tblStyle w:val="13"/>
        <w:tblW w:w="14480" w:type="dxa"/>
        <w:jc w:val="center"/>
        <w:tblLayout w:type="fixed"/>
        <w:tblCellMar>
          <w:top w:w="0" w:type="dxa"/>
          <w:left w:w="108" w:type="dxa"/>
          <w:bottom w:w="0" w:type="dxa"/>
          <w:right w:w="108" w:type="dxa"/>
        </w:tblCellMar>
      </w:tblPr>
      <w:tblGrid>
        <w:gridCol w:w="814"/>
        <w:gridCol w:w="3473"/>
        <w:gridCol w:w="1038"/>
        <w:gridCol w:w="711"/>
        <w:gridCol w:w="711"/>
        <w:gridCol w:w="3752"/>
        <w:gridCol w:w="816"/>
        <w:gridCol w:w="817"/>
        <w:gridCol w:w="817"/>
        <w:gridCol w:w="1531"/>
      </w:tblGrid>
      <w:tr w14:paraId="3F856CD6">
        <w:tblPrEx>
          <w:tblCellMar>
            <w:top w:w="0" w:type="dxa"/>
            <w:left w:w="108" w:type="dxa"/>
            <w:bottom w:w="0" w:type="dxa"/>
            <w:right w:w="108" w:type="dxa"/>
          </w:tblCellMar>
        </w:tblPrEx>
        <w:trPr>
          <w:trHeight w:val="320" w:hRule="atLeast"/>
          <w:tblHeader/>
          <w:jc w:val="center"/>
        </w:trPr>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AFEB13">
            <w:pPr>
              <w:spacing w:line="320" w:lineRule="exact"/>
              <w:jc w:val="center"/>
              <w:textAlignment w:val="center"/>
              <w:rPr>
                <w:rFonts w:ascii="Times New Roman" w:hAnsi="Times New Roman" w:eastAsia="宋体"/>
                <w:b/>
                <w:bCs/>
                <w:color w:val="000000"/>
                <w:sz w:val="20"/>
                <w:szCs w:val="20"/>
              </w:rPr>
            </w:pPr>
            <w:r>
              <w:rPr>
                <w:rStyle w:val="21"/>
                <w:rFonts w:hint="default"/>
              </w:rPr>
              <w:t>序号</w:t>
            </w:r>
          </w:p>
        </w:tc>
        <w:tc>
          <w:tcPr>
            <w:tcW w:w="3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86375">
            <w:pPr>
              <w:spacing w:line="320" w:lineRule="exact"/>
              <w:jc w:val="center"/>
              <w:textAlignment w:val="center"/>
              <w:rPr>
                <w:rFonts w:ascii="Times New Roman" w:hAnsi="Times New Roman" w:eastAsia="宋体"/>
                <w:b/>
                <w:bCs/>
                <w:color w:val="000000"/>
                <w:sz w:val="20"/>
                <w:szCs w:val="20"/>
              </w:rPr>
            </w:pPr>
            <w:r>
              <w:rPr>
                <w:rStyle w:val="21"/>
                <w:rFonts w:hint="default"/>
              </w:rPr>
              <w:t>项目名称</w:t>
            </w:r>
          </w:p>
        </w:tc>
        <w:tc>
          <w:tcPr>
            <w:tcW w:w="10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195B8">
            <w:pPr>
              <w:spacing w:line="320" w:lineRule="exact"/>
              <w:jc w:val="center"/>
              <w:textAlignment w:val="center"/>
              <w:rPr>
                <w:rStyle w:val="21"/>
                <w:rFonts w:hint="default"/>
              </w:rPr>
            </w:pPr>
            <w:r>
              <w:rPr>
                <w:rStyle w:val="21"/>
                <w:rFonts w:hint="default"/>
              </w:rPr>
              <w:t>建设</w:t>
            </w:r>
          </w:p>
          <w:p w14:paraId="0B2F6A27">
            <w:pPr>
              <w:spacing w:line="320" w:lineRule="exact"/>
              <w:jc w:val="center"/>
              <w:textAlignment w:val="center"/>
              <w:rPr>
                <w:rFonts w:ascii="Times New Roman" w:hAnsi="Times New Roman" w:eastAsia="宋体"/>
                <w:b/>
                <w:bCs/>
                <w:color w:val="000000"/>
                <w:sz w:val="20"/>
                <w:szCs w:val="20"/>
              </w:rPr>
            </w:pPr>
            <w:r>
              <w:rPr>
                <w:rStyle w:val="21"/>
                <w:rFonts w:hint="default"/>
              </w:rPr>
              <w:t>性质</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49665B">
            <w:pPr>
              <w:spacing w:line="320" w:lineRule="exact"/>
              <w:jc w:val="center"/>
              <w:textAlignment w:val="center"/>
              <w:rPr>
                <w:rStyle w:val="21"/>
                <w:rFonts w:hint="default"/>
              </w:rPr>
            </w:pPr>
            <w:r>
              <w:rPr>
                <w:rStyle w:val="21"/>
                <w:rFonts w:hint="default"/>
              </w:rPr>
              <w:t>开</w:t>
            </w:r>
          </w:p>
          <w:p w14:paraId="652C60DF">
            <w:pPr>
              <w:spacing w:line="320" w:lineRule="exact"/>
              <w:jc w:val="center"/>
              <w:textAlignment w:val="center"/>
              <w:rPr>
                <w:rStyle w:val="21"/>
                <w:rFonts w:hint="default"/>
              </w:rPr>
            </w:pPr>
            <w:r>
              <w:rPr>
                <w:rStyle w:val="21"/>
                <w:rFonts w:hint="default"/>
              </w:rPr>
              <w:t>工</w:t>
            </w:r>
          </w:p>
          <w:p w14:paraId="4050E33B">
            <w:pPr>
              <w:spacing w:line="320" w:lineRule="exact"/>
              <w:jc w:val="center"/>
              <w:textAlignment w:val="center"/>
              <w:rPr>
                <w:rFonts w:ascii="Times New Roman" w:hAnsi="Times New Roman" w:eastAsia="宋体"/>
                <w:b/>
                <w:bCs/>
                <w:color w:val="000000"/>
                <w:sz w:val="20"/>
                <w:szCs w:val="20"/>
              </w:rPr>
            </w:pPr>
            <w:r>
              <w:rPr>
                <w:rStyle w:val="21"/>
                <w:rFonts w:hint="default"/>
              </w:rPr>
              <w:t>年</w:t>
            </w:r>
          </w:p>
        </w:tc>
        <w:tc>
          <w:tcPr>
            <w:tcW w:w="7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DF90D1">
            <w:pPr>
              <w:spacing w:line="320" w:lineRule="exact"/>
              <w:jc w:val="center"/>
              <w:textAlignment w:val="center"/>
              <w:rPr>
                <w:rStyle w:val="21"/>
                <w:rFonts w:hint="default"/>
              </w:rPr>
            </w:pPr>
            <w:r>
              <w:rPr>
                <w:rStyle w:val="21"/>
                <w:rFonts w:hint="default"/>
              </w:rPr>
              <w:t>完</w:t>
            </w:r>
          </w:p>
          <w:p w14:paraId="0A376E4A">
            <w:pPr>
              <w:spacing w:line="320" w:lineRule="exact"/>
              <w:jc w:val="center"/>
              <w:textAlignment w:val="center"/>
              <w:rPr>
                <w:rStyle w:val="21"/>
                <w:rFonts w:hint="default"/>
              </w:rPr>
            </w:pPr>
            <w:r>
              <w:rPr>
                <w:rStyle w:val="21"/>
                <w:rFonts w:hint="default"/>
              </w:rPr>
              <w:t>工</w:t>
            </w:r>
          </w:p>
          <w:p w14:paraId="5D73BE02">
            <w:pPr>
              <w:spacing w:line="320" w:lineRule="exact"/>
              <w:jc w:val="center"/>
              <w:textAlignment w:val="center"/>
              <w:rPr>
                <w:rFonts w:ascii="Times New Roman" w:hAnsi="Times New Roman" w:eastAsia="宋体"/>
                <w:b/>
                <w:bCs/>
                <w:color w:val="000000"/>
                <w:sz w:val="20"/>
                <w:szCs w:val="20"/>
              </w:rPr>
            </w:pPr>
            <w:r>
              <w:rPr>
                <w:rStyle w:val="21"/>
                <w:rFonts w:hint="default"/>
              </w:rPr>
              <w:t>年</w:t>
            </w:r>
          </w:p>
        </w:tc>
        <w:tc>
          <w:tcPr>
            <w:tcW w:w="3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6B28B">
            <w:pPr>
              <w:spacing w:line="320" w:lineRule="exact"/>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项目概况</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2C7F5">
            <w:pPr>
              <w:spacing w:line="320" w:lineRule="exact"/>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建设规模(公里)</w:t>
            </w: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FEFD9">
            <w:pPr>
              <w:spacing w:line="320" w:lineRule="exact"/>
              <w:jc w:val="center"/>
              <w:textAlignment w:val="center"/>
              <w:rPr>
                <w:rFonts w:ascii="宋体" w:hAnsi="宋体" w:eastAsia="宋体" w:cs="宋体"/>
                <w:b/>
                <w:bCs/>
                <w:color w:val="000000"/>
                <w:sz w:val="20"/>
                <w:szCs w:val="20"/>
              </w:rPr>
            </w:pPr>
            <w:r>
              <w:rPr>
                <w:rFonts w:hint="eastAsia" w:ascii="宋体" w:hAnsi="宋体" w:eastAsia="宋体" w:cs="宋体"/>
                <w:b/>
                <w:bCs/>
                <w:color w:val="000000"/>
                <w:kern w:val="0"/>
                <w:sz w:val="20"/>
                <w:szCs w:val="20"/>
              </w:rPr>
              <w:t>总投资(亿元)</w:t>
            </w: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C70F6">
            <w:pPr>
              <w:spacing w:line="320" w:lineRule="exact"/>
              <w:jc w:val="center"/>
              <w:textAlignment w:val="center"/>
              <w:rPr>
                <w:rFonts w:ascii="Times New Roman" w:hAnsi="Times New Roman" w:eastAsia="宋体"/>
                <w:b/>
                <w:bCs/>
                <w:color w:val="000000"/>
                <w:sz w:val="20"/>
                <w:szCs w:val="20"/>
              </w:rPr>
            </w:pPr>
            <w:r>
              <w:rPr>
                <w:rStyle w:val="22"/>
                <w:rFonts w:hint="eastAsia" w:eastAsia="宋体"/>
              </w:rPr>
              <w:t>“</w:t>
            </w:r>
            <w:r>
              <w:rPr>
                <w:rStyle w:val="21"/>
                <w:rFonts w:hint="default"/>
              </w:rPr>
              <w:t>十四五</w:t>
            </w:r>
            <w:r>
              <w:rPr>
                <w:rStyle w:val="22"/>
                <w:rFonts w:hint="eastAsia" w:eastAsia="宋体"/>
              </w:rPr>
              <w:t>”</w:t>
            </w:r>
            <w:r>
              <w:rPr>
                <w:rStyle w:val="21"/>
                <w:rFonts w:hint="default"/>
              </w:rPr>
              <w:t>投资</w:t>
            </w:r>
            <w:r>
              <w:rPr>
                <w:rStyle w:val="22"/>
                <w:rFonts w:eastAsia="宋体"/>
              </w:rPr>
              <w:t>(</w:t>
            </w:r>
            <w:r>
              <w:rPr>
                <w:rStyle w:val="21"/>
                <w:rFonts w:hint="default"/>
              </w:rPr>
              <w:t>亿元</w:t>
            </w:r>
            <w:r>
              <w:rPr>
                <w:rStyle w:val="22"/>
                <w:rFonts w:eastAsia="宋体"/>
              </w:rPr>
              <w:t>)</w:t>
            </w:r>
          </w:p>
        </w:tc>
        <w:tc>
          <w:tcPr>
            <w:tcW w:w="15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CBE61">
            <w:pPr>
              <w:spacing w:line="320" w:lineRule="exact"/>
              <w:jc w:val="center"/>
              <w:textAlignment w:val="center"/>
              <w:rPr>
                <w:rFonts w:ascii="Times New Roman" w:hAnsi="Times New Roman" w:eastAsia="宋体"/>
                <w:b/>
                <w:bCs/>
                <w:color w:val="000000"/>
                <w:sz w:val="20"/>
                <w:szCs w:val="20"/>
              </w:rPr>
            </w:pPr>
            <w:r>
              <w:rPr>
                <w:rStyle w:val="21"/>
                <w:rFonts w:hint="default"/>
              </w:rPr>
              <w:t>备注</w:t>
            </w:r>
          </w:p>
        </w:tc>
      </w:tr>
      <w:tr w14:paraId="17F3C6BA">
        <w:tblPrEx>
          <w:tblCellMar>
            <w:top w:w="0" w:type="dxa"/>
            <w:left w:w="108" w:type="dxa"/>
            <w:bottom w:w="0" w:type="dxa"/>
            <w:right w:w="108" w:type="dxa"/>
          </w:tblCellMar>
        </w:tblPrEx>
        <w:trPr>
          <w:trHeight w:val="729" w:hRule="atLeast"/>
          <w:tblHeader/>
          <w:jc w:val="center"/>
        </w:trPr>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B119E">
            <w:pPr>
              <w:spacing w:line="320" w:lineRule="exact"/>
              <w:jc w:val="center"/>
              <w:rPr>
                <w:rFonts w:ascii="Times New Roman" w:hAnsi="Times New Roman" w:eastAsia="宋体"/>
                <w:b/>
                <w:bCs/>
                <w:color w:val="000000"/>
                <w:sz w:val="20"/>
                <w:szCs w:val="20"/>
              </w:rPr>
            </w:pPr>
          </w:p>
        </w:tc>
        <w:tc>
          <w:tcPr>
            <w:tcW w:w="3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C9EB0">
            <w:pPr>
              <w:spacing w:line="320" w:lineRule="exact"/>
              <w:jc w:val="center"/>
              <w:rPr>
                <w:rFonts w:ascii="Times New Roman" w:hAnsi="Times New Roman" w:eastAsia="宋体"/>
                <w:b/>
                <w:bCs/>
                <w:color w:val="000000"/>
                <w:sz w:val="20"/>
                <w:szCs w:val="20"/>
              </w:rPr>
            </w:pP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C7CA8">
            <w:pPr>
              <w:spacing w:line="320" w:lineRule="exact"/>
              <w:jc w:val="center"/>
              <w:rPr>
                <w:rFonts w:ascii="Times New Roman" w:hAnsi="Times New Roman" w:eastAsia="宋体"/>
                <w:b/>
                <w:bCs/>
                <w:color w:val="000000"/>
                <w:sz w:val="20"/>
                <w:szCs w:val="20"/>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F6AE7">
            <w:pPr>
              <w:spacing w:line="320" w:lineRule="exact"/>
              <w:jc w:val="center"/>
              <w:rPr>
                <w:rFonts w:ascii="Times New Roman" w:hAnsi="Times New Roman" w:eastAsia="宋体"/>
                <w:b/>
                <w:bCs/>
                <w:color w:val="000000"/>
                <w:sz w:val="20"/>
                <w:szCs w:val="20"/>
              </w:rPr>
            </w:pPr>
          </w:p>
        </w:tc>
        <w:tc>
          <w:tcPr>
            <w:tcW w:w="7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160DF">
            <w:pPr>
              <w:spacing w:line="320" w:lineRule="exact"/>
              <w:jc w:val="center"/>
              <w:rPr>
                <w:rFonts w:ascii="Times New Roman" w:hAnsi="Times New Roman" w:eastAsia="宋体"/>
                <w:b/>
                <w:bCs/>
                <w:color w:val="000000"/>
                <w:sz w:val="20"/>
                <w:szCs w:val="20"/>
              </w:rPr>
            </w:pPr>
          </w:p>
        </w:tc>
        <w:tc>
          <w:tcPr>
            <w:tcW w:w="3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F2CC9">
            <w:pPr>
              <w:spacing w:line="320" w:lineRule="exact"/>
              <w:jc w:val="center"/>
              <w:rPr>
                <w:rFonts w:ascii="宋体" w:hAnsi="宋体" w:eastAsia="宋体" w:cs="宋体"/>
                <w:b/>
                <w:bCs/>
                <w:color w:val="000000"/>
                <w:sz w:val="20"/>
                <w:szCs w:val="20"/>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A6AAA">
            <w:pPr>
              <w:spacing w:line="320" w:lineRule="exact"/>
              <w:jc w:val="center"/>
              <w:rPr>
                <w:rFonts w:ascii="宋体" w:hAnsi="宋体" w:eastAsia="宋体" w:cs="宋体"/>
                <w:b/>
                <w:bCs/>
                <w:color w:val="000000"/>
                <w:sz w:val="20"/>
                <w:szCs w:val="20"/>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0E2E9">
            <w:pPr>
              <w:spacing w:line="320" w:lineRule="exact"/>
              <w:jc w:val="center"/>
              <w:rPr>
                <w:rFonts w:ascii="宋体" w:hAnsi="宋体" w:eastAsia="宋体" w:cs="宋体"/>
                <w:b/>
                <w:bCs/>
                <w:color w:val="000000"/>
                <w:sz w:val="20"/>
                <w:szCs w:val="20"/>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00234">
            <w:pPr>
              <w:spacing w:line="320" w:lineRule="exact"/>
              <w:jc w:val="center"/>
              <w:rPr>
                <w:rFonts w:ascii="Times New Roman" w:hAnsi="Times New Roman" w:eastAsia="宋体"/>
                <w:b/>
                <w:bCs/>
                <w:color w:val="000000"/>
                <w:sz w:val="20"/>
                <w:szCs w:val="20"/>
              </w:rPr>
            </w:pPr>
          </w:p>
        </w:tc>
        <w:tc>
          <w:tcPr>
            <w:tcW w:w="15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EDB8F">
            <w:pPr>
              <w:spacing w:line="320" w:lineRule="exact"/>
              <w:jc w:val="center"/>
              <w:rPr>
                <w:rFonts w:ascii="Times New Roman" w:hAnsi="Times New Roman" w:eastAsia="宋体"/>
                <w:b/>
                <w:bCs/>
                <w:color w:val="000000"/>
                <w:sz w:val="20"/>
                <w:szCs w:val="20"/>
              </w:rPr>
            </w:pPr>
          </w:p>
        </w:tc>
      </w:tr>
      <w:tr w14:paraId="427A6CFD">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05E7">
            <w:pPr>
              <w:spacing w:line="320" w:lineRule="exact"/>
              <w:jc w:val="center"/>
              <w:rPr>
                <w:rFonts w:ascii="Times New Roman" w:hAnsi="Times New Roman" w:eastAsia="宋体"/>
                <w:color w:val="000000"/>
                <w:sz w:val="20"/>
                <w:szCs w:val="20"/>
              </w:rPr>
            </w:pP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2070E6">
            <w:pPr>
              <w:spacing w:line="320" w:lineRule="exact"/>
              <w:jc w:val="left"/>
              <w:textAlignment w:val="center"/>
              <w:rPr>
                <w:rFonts w:ascii="Times New Roman" w:hAnsi="Times New Roman" w:eastAsia="宋体"/>
                <w:b/>
                <w:bCs/>
                <w:color w:val="000000"/>
                <w:sz w:val="20"/>
                <w:szCs w:val="20"/>
              </w:rPr>
            </w:pPr>
            <w:r>
              <w:rPr>
                <w:rStyle w:val="21"/>
                <w:rFonts w:hint="default"/>
              </w:rPr>
              <w:t>合计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D9A6">
            <w:pPr>
              <w:spacing w:line="32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D291">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444.7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0512">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258.2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1B50">
            <w:pPr>
              <w:spacing w:line="320" w:lineRule="exact"/>
              <w:jc w:val="center"/>
              <w:rPr>
                <w:rFonts w:ascii="Times New Roman" w:hAnsi="Times New Roman" w:eastAsia="宋体"/>
                <w:color w:val="000000"/>
                <w:sz w:val="20"/>
                <w:szCs w:val="20"/>
              </w:rPr>
            </w:pPr>
          </w:p>
        </w:tc>
      </w:tr>
      <w:tr w14:paraId="11CD9A80">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04D1">
            <w:pPr>
              <w:spacing w:line="320" w:lineRule="exact"/>
              <w:jc w:val="center"/>
              <w:textAlignment w:val="center"/>
              <w:rPr>
                <w:rFonts w:ascii="Times New Roman" w:hAnsi="Times New Roman" w:eastAsia="宋体"/>
                <w:b/>
                <w:bCs/>
                <w:color w:val="000000"/>
                <w:sz w:val="20"/>
                <w:szCs w:val="20"/>
              </w:rPr>
            </w:pPr>
            <w:r>
              <w:rPr>
                <w:rStyle w:val="21"/>
                <w:rFonts w:hint="default"/>
              </w:rPr>
              <w:t>一</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374E">
            <w:pPr>
              <w:spacing w:line="320" w:lineRule="exact"/>
              <w:jc w:val="left"/>
              <w:textAlignment w:val="center"/>
              <w:rPr>
                <w:rFonts w:ascii="Times New Roman" w:hAnsi="Times New Roman" w:eastAsia="宋体"/>
                <w:b/>
                <w:bCs/>
                <w:color w:val="000000"/>
                <w:sz w:val="20"/>
                <w:szCs w:val="20"/>
              </w:rPr>
            </w:pPr>
            <w:r>
              <w:rPr>
                <w:rStyle w:val="21"/>
                <w:rFonts w:hint="default"/>
              </w:rPr>
              <w:t>铁路（小计）</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190E">
            <w:pPr>
              <w:spacing w:line="320" w:lineRule="exact"/>
              <w:jc w:val="center"/>
              <w:rPr>
                <w:rFonts w:ascii="Times New Roman" w:hAnsi="Times New Roman" w:eastAsia="宋体"/>
                <w:b/>
                <w:bCs/>
                <w:color w:val="000000"/>
                <w:sz w:val="20"/>
                <w:szCs w:val="20"/>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165A">
            <w:pPr>
              <w:spacing w:line="320" w:lineRule="exact"/>
              <w:jc w:val="center"/>
              <w:rPr>
                <w:rFonts w:ascii="Times New Roman" w:hAnsi="Times New Roman" w:eastAsia="宋体"/>
                <w:b/>
                <w:bCs/>
                <w:color w:val="000000"/>
                <w:sz w:val="20"/>
                <w:szCs w:val="20"/>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8E78">
            <w:pPr>
              <w:spacing w:line="320" w:lineRule="exact"/>
              <w:jc w:val="center"/>
              <w:rPr>
                <w:rFonts w:ascii="Times New Roman" w:hAnsi="Times New Roman" w:eastAsia="宋体"/>
                <w:b/>
                <w:bCs/>
                <w:color w:val="000000"/>
                <w:sz w:val="20"/>
                <w:szCs w:val="20"/>
              </w:rPr>
            </w:pP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2CF4">
            <w:pPr>
              <w:spacing w:line="320" w:lineRule="exact"/>
              <w:jc w:val="center"/>
              <w:rPr>
                <w:rFonts w:ascii="Times New Roman" w:hAnsi="Times New Roman" w:eastAsia="宋体"/>
                <w:b/>
                <w:bCs/>
                <w:color w:val="000000"/>
                <w:sz w:val="20"/>
                <w:szCs w:val="20"/>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CF2A">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100.0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9D48">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152.5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6A62">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97.5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7237">
            <w:pPr>
              <w:spacing w:line="320" w:lineRule="exact"/>
              <w:jc w:val="center"/>
              <w:rPr>
                <w:rFonts w:ascii="Times New Roman" w:hAnsi="Times New Roman" w:eastAsia="宋体"/>
                <w:b/>
                <w:bCs/>
                <w:color w:val="000000"/>
                <w:sz w:val="20"/>
                <w:szCs w:val="20"/>
              </w:rPr>
            </w:pPr>
          </w:p>
        </w:tc>
      </w:tr>
      <w:tr w14:paraId="65819EDF">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E85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180A">
            <w:pPr>
              <w:spacing w:line="320" w:lineRule="exact"/>
              <w:jc w:val="center"/>
              <w:textAlignment w:val="center"/>
              <w:rPr>
                <w:rFonts w:ascii="Times New Roman" w:hAnsi="Times New Roman" w:eastAsia="宋体"/>
                <w:color w:val="000000"/>
                <w:sz w:val="20"/>
                <w:szCs w:val="20"/>
              </w:rPr>
            </w:pPr>
            <w:r>
              <w:rPr>
                <w:rStyle w:val="23"/>
                <w:rFonts w:hint="default"/>
              </w:rPr>
              <w:t>渝宜高铁</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4139">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A4A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2021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8D6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2027 </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D587">
            <w:pPr>
              <w:spacing w:line="320" w:lineRule="exact"/>
              <w:jc w:val="center"/>
              <w:textAlignment w:val="center"/>
              <w:rPr>
                <w:rFonts w:ascii="Times New Roman" w:hAnsi="Times New Roman" w:eastAsia="宋体"/>
                <w:color w:val="000000"/>
                <w:sz w:val="20"/>
                <w:szCs w:val="20"/>
              </w:rPr>
            </w:pPr>
            <w:r>
              <w:rPr>
                <w:rStyle w:val="23"/>
                <w:rFonts w:hint="default"/>
              </w:rPr>
              <w:t>建设高速铁路</w:t>
            </w:r>
            <w:r>
              <w:rPr>
                <w:rStyle w:val="24"/>
                <w:rFonts w:eastAsia="宋体"/>
              </w:rPr>
              <w:t>50</w:t>
            </w:r>
            <w:r>
              <w:rPr>
                <w:rStyle w:val="23"/>
                <w:rFonts w:hint="default"/>
              </w:rPr>
              <w:t>公里</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3A6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50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406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82.5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7C2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27.5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0D2C">
            <w:pPr>
              <w:spacing w:line="320" w:lineRule="exact"/>
              <w:jc w:val="center"/>
              <w:textAlignment w:val="center"/>
              <w:rPr>
                <w:rFonts w:ascii="Times New Roman" w:hAnsi="Times New Roman" w:eastAsia="宋体"/>
                <w:color w:val="000000"/>
                <w:sz w:val="20"/>
                <w:szCs w:val="20"/>
              </w:rPr>
            </w:pPr>
            <w:r>
              <w:rPr>
                <w:rStyle w:val="23"/>
                <w:rFonts w:hint="default"/>
              </w:rPr>
              <w:t>市级规划项目</w:t>
            </w:r>
          </w:p>
        </w:tc>
      </w:tr>
      <w:tr w14:paraId="1FFC659C">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2A7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85BC">
            <w:pPr>
              <w:spacing w:line="320" w:lineRule="exact"/>
              <w:jc w:val="center"/>
              <w:textAlignment w:val="center"/>
              <w:rPr>
                <w:rFonts w:ascii="Times New Roman" w:hAnsi="Times New Roman" w:eastAsia="宋体"/>
                <w:color w:val="000000"/>
                <w:sz w:val="20"/>
                <w:szCs w:val="20"/>
              </w:rPr>
            </w:pPr>
            <w:r>
              <w:rPr>
                <w:rStyle w:val="23"/>
                <w:rFonts w:hint="default"/>
              </w:rPr>
              <w:t>渝万高铁</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DF85">
            <w:pPr>
              <w:spacing w:line="320" w:lineRule="exact"/>
              <w:jc w:val="center"/>
              <w:textAlignment w:val="center"/>
              <w:rPr>
                <w:rFonts w:ascii="Times New Roman" w:hAnsi="Times New Roman" w:eastAsia="宋体"/>
                <w:color w:val="000000"/>
                <w:sz w:val="20"/>
                <w:szCs w:val="20"/>
              </w:rPr>
            </w:pPr>
            <w:r>
              <w:rPr>
                <w:rStyle w:val="23"/>
                <w:rFonts w:hint="default"/>
              </w:rPr>
              <w:t>续建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A94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2020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E82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2025 </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EE7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建设高速铁路50公里</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B35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50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E3D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70.0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394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70.0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DC02">
            <w:pPr>
              <w:spacing w:line="320" w:lineRule="exact"/>
              <w:jc w:val="center"/>
              <w:textAlignment w:val="center"/>
              <w:rPr>
                <w:rFonts w:ascii="Times New Roman" w:hAnsi="Times New Roman" w:eastAsia="宋体"/>
                <w:color w:val="000000"/>
                <w:sz w:val="20"/>
                <w:szCs w:val="20"/>
              </w:rPr>
            </w:pPr>
            <w:r>
              <w:rPr>
                <w:rStyle w:val="23"/>
                <w:rFonts w:hint="default"/>
              </w:rPr>
              <w:t>市级规划项目</w:t>
            </w:r>
          </w:p>
        </w:tc>
      </w:tr>
      <w:tr w14:paraId="30F66425">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AFDA">
            <w:pPr>
              <w:spacing w:line="320" w:lineRule="exact"/>
              <w:jc w:val="center"/>
              <w:textAlignment w:val="center"/>
              <w:rPr>
                <w:rFonts w:ascii="Times New Roman" w:hAnsi="Times New Roman" w:eastAsia="宋体"/>
                <w:color w:val="000000"/>
                <w:sz w:val="20"/>
                <w:szCs w:val="20"/>
              </w:rPr>
            </w:pPr>
            <w:r>
              <w:rPr>
                <w:rStyle w:val="23"/>
                <w:rFonts w:hint="default"/>
              </w:rPr>
              <w:t>二</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D836">
            <w:pPr>
              <w:spacing w:line="320" w:lineRule="exact"/>
              <w:jc w:val="left"/>
              <w:textAlignment w:val="center"/>
              <w:rPr>
                <w:rFonts w:ascii="Times New Roman" w:hAnsi="Times New Roman" w:eastAsia="宋体"/>
                <w:b/>
                <w:bCs/>
                <w:color w:val="000000"/>
                <w:sz w:val="20"/>
                <w:szCs w:val="20"/>
              </w:rPr>
            </w:pPr>
            <w:r>
              <w:rPr>
                <w:rStyle w:val="21"/>
                <w:rFonts w:hint="default"/>
              </w:rPr>
              <w:t>公路（小计）</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70B0">
            <w:pPr>
              <w:spacing w:line="320" w:lineRule="exact"/>
              <w:jc w:val="center"/>
              <w:rPr>
                <w:rFonts w:ascii="Times New Roman" w:hAnsi="Times New Roman" w:eastAsia="宋体"/>
                <w:color w:val="000000"/>
                <w:sz w:val="20"/>
                <w:szCs w:val="20"/>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CEE0">
            <w:pPr>
              <w:spacing w:line="320" w:lineRule="exact"/>
              <w:jc w:val="center"/>
              <w:rPr>
                <w:rFonts w:ascii="Times New Roman" w:hAnsi="Times New Roman" w:eastAsia="宋体"/>
                <w:color w:val="000000"/>
                <w:sz w:val="20"/>
                <w:szCs w:val="20"/>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7B12">
            <w:pPr>
              <w:spacing w:line="320" w:lineRule="exact"/>
              <w:jc w:val="center"/>
              <w:rPr>
                <w:rFonts w:ascii="Times New Roman" w:hAnsi="Times New Roman" w:eastAsia="宋体"/>
                <w:color w:val="000000"/>
                <w:sz w:val="20"/>
                <w:szCs w:val="20"/>
              </w:rPr>
            </w:pP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4005">
            <w:pPr>
              <w:spacing w:line="320" w:lineRule="exact"/>
              <w:jc w:val="center"/>
              <w:rPr>
                <w:rFonts w:ascii="Times New Roman" w:hAnsi="Times New Roman" w:eastAsia="宋体"/>
                <w:color w:val="000000"/>
                <w:sz w:val="20"/>
                <w:szCs w:val="20"/>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E4B9">
            <w:pPr>
              <w:spacing w:line="32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435F">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266.5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2977">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146.3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78FD">
            <w:pPr>
              <w:spacing w:line="320" w:lineRule="exact"/>
              <w:jc w:val="center"/>
              <w:rPr>
                <w:rFonts w:ascii="Times New Roman" w:hAnsi="Times New Roman" w:eastAsia="宋体"/>
                <w:color w:val="000000"/>
                <w:sz w:val="20"/>
                <w:szCs w:val="20"/>
              </w:rPr>
            </w:pPr>
          </w:p>
        </w:tc>
      </w:tr>
      <w:tr w14:paraId="6AAEC254">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7A44">
            <w:pPr>
              <w:spacing w:line="320" w:lineRule="exact"/>
              <w:jc w:val="center"/>
              <w:textAlignment w:val="center"/>
              <w:rPr>
                <w:rFonts w:ascii="Times New Roman" w:hAnsi="Times New Roman" w:eastAsia="宋体"/>
                <w:b/>
                <w:bCs/>
                <w:color w:val="000000"/>
                <w:sz w:val="20"/>
                <w:szCs w:val="20"/>
              </w:rPr>
            </w:pPr>
            <w:r>
              <w:rPr>
                <w:rStyle w:val="21"/>
                <w:rFonts w:hint="default"/>
              </w:rPr>
              <w:t>（一）</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D33892">
            <w:pPr>
              <w:spacing w:line="320" w:lineRule="exact"/>
              <w:jc w:val="left"/>
              <w:textAlignment w:val="center"/>
              <w:rPr>
                <w:rFonts w:ascii="Times New Roman" w:hAnsi="Times New Roman" w:eastAsia="宋体"/>
                <w:b/>
                <w:bCs/>
                <w:color w:val="000000"/>
                <w:sz w:val="20"/>
                <w:szCs w:val="20"/>
              </w:rPr>
            </w:pPr>
            <w:r>
              <w:rPr>
                <w:rStyle w:val="21"/>
                <w:rFonts w:hint="default"/>
              </w:rPr>
              <w:t>高速公路（小计）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A9CB">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135.0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9BFE">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233.0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3D18">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114.0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BDA4">
            <w:pPr>
              <w:spacing w:line="320" w:lineRule="exact"/>
              <w:jc w:val="center"/>
              <w:rPr>
                <w:rFonts w:ascii="Times New Roman" w:hAnsi="Times New Roman" w:eastAsia="宋体"/>
                <w:b/>
                <w:bCs/>
                <w:color w:val="000000"/>
                <w:sz w:val="20"/>
                <w:szCs w:val="20"/>
              </w:rPr>
            </w:pPr>
          </w:p>
        </w:tc>
      </w:tr>
      <w:tr w14:paraId="4D35DE58">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F39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568D">
            <w:pPr>
              <w:spacing w:line="320" w:lineRule="exact"/>
              <w:jc w:val="center"/>
              <w:textAlignment w:val="center"/>
              <w:rPr>
                <w:rFonts w:ascii="Times New Roman" w:hAnsi="Times New Roman" w:eastAsia="宋体"/>
                <w:color w:val="000000"/>
                <w:sz w:val="20"/>
                <w:szCs w:val="20"/>
              </w:rPr>
            </w:pPr>
            <w:r>
              <w:rPr>
                <w:rStyle w:val="23"/>
                <w:rFonts w:hint="default"/>
              </w:rPr>
              <w:t>大竹至垫江至丰都至武隆（丰都段）</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835F">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000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3CF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2029</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8811">
            <w:pPr>
              <w:spacing w:line="320" w:lineRule="exact"/>
              <w:jc w:val="center"/>
              <w:textAlignment w:val="center"/>
              <w:rPr>
                <w:rFonts w:ascii="Times New Roman" w:hAnsi="Times New Roman" w:eastAsia="宋体"/>
                <w:color w:val="000000"/>
                <w:sz w:val="20"/>
                <w:szCs w:val="20"/>
              </w:rPr>
            </w:pPr>
            <w:r>
              <w:rPr>
                <w:rStyle w:val="23"/>
                <w:rFonts w:hint="default"/>
              </w:rPr>
              <w:t>建设高速公路</w:t>
            </w:r>
            <w:r>
              <w:rPr>
                <w:rStyle w:val="24"/>
                <w:rFonts w:eastAsia="宋体"/>
              </w:rPr>
              <w:t>85</w:t>
            </w:r>
            <w:r>
              <w:rPr>
                <w:rStyle w:val="23"/>
                <w:rFonts w:hint="default"/>
              </w:rPr>
              <w:t>公里</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B95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D90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135.0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CA4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34.0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C9E3">
            <w:pPr>
              <w:spacing w:line="320" w:lineRule="exact"/>
              <w:jc w:val="center"/>
              <w:textAlignment w:val="center"/>
              <w:rPr>
                <w:rFonts w:ascii="Times New Roman" w:hAnsi="Times New Roman" w:eastAsia="宋体"/>
                <w:color w:val="000000"/>
                <w:sz w:val="20"/>
                <w:szCs w:val="20"/>
              </w:rPr>
            </w:pPr>
            <w:r>
              <w:rPr>
                <w:rStyle w:val="23"/>
                <w:rFonts w:hint="default"/>
              </w:rPr>
              <w:t>市级规划项目</w:t>
            </w:r>
          </w:p>
        </w:tc>
      </w:tr>
      <w:tr w14:paraId="2855D685">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CFA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7F07">
            <w:pPr>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丰都游轮辅港至南天湖至仙女山机场高速</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7845">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063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7B5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5AFF">
            <w:pPr>
              <w:spacing w:line="320" w:lineRule="exact"/>
              <w:jc w:val="center"/>
              <w:textAlignment w:val="center"/>
              <w:rPr>
                <w:rFonts w:ascii="Times New Roman" w:hAnsi="Times New Roman" w:eastAsia="宋体"/>
                <w:color w:val="000000"/>
                <w:sz w:val="20"/>
                <w:szCs w:val="20"/>
              </w:rPr>
            </w:pPr>
            <w:r>
              <w:rPr>
                <w:rStyle w:val="23"/>
                <w:rFonts w:hint="default"/>
              </w:rPr>
              <w:t>建设高速公路</w:t>
            </w:r>
            <w:r>
              <w:rPr>
                <w:rStyle w:val="24"/>
                <w:rFonts w:eastAsia="宋体"/>
              </w:rPr>
              <w:t>41</w:t>
            </w:r>
            <w:r>
              <w:rPr>
                <w:rStyle w:val="23"/>
                <w:rFonts w:hint="default"/>
              </w:rPr>
              <w:t>公里</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190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41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E76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80.0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7D4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80.0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83A7">
            <w:pPr>
              <w:spacing w:line="320" w:lineRule="exact"/>
              <w:jc w:val="center"/>
              <w:textAlignment w:val="center"/>
              <w:rPr>
                <w:rFonts w:ascii="Times New Roman" w:hAnsi="Times New Roman" w:eastAsia="宋体"/>
                <w:color w:val="000000"/>
                <w:sz w:val="20"/>
                <w:szCs w:val="20"/>
              </w:rPr>
            </w:pPr>
            <w:r>
              <w:rPr>
                <w:rStyle w:val="23"/>
                <w:rFonts w:hint="default"/>
              </w:rPr>
              <w:t>市级研究项目</w:t>
            </w:r>
          </w:p>
        </w:tc>
      </w:tr>
      <w:tr w14:paraId="53E994CB">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BF5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3</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2CD45">
            <w:pPr>
              <w:spacing w:line="320" w:lineRule="exact"/>
              <w:jc w:val="center"/>
              <w:textAlignment w:val="center"/>
              <w:rPr>
                <w:rFonts w:ascii="Times New Roman" w:hAnsi="Times New Roman" w:eastAsia="宋体"/>
                <w:color w:val="000000"/>
                <w:sz w:val="20"/>
                <w:szCs w:val="20"/>
              </w:rPr>
            </w:pPr>
            <w:r>
              <w:rPr>
                <w:rStyle w:val="23"/>
                <w:rFonts w:hint="default"/>
              </w:rPr>
              <w:t>涪陵白涛至丰都高速公路（丰都段）</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DED6">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EF0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513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2030</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C2D4">
            <w:pPr>
              <w:spacing w:line="320" w:lineRule="exact"/>
              <w:jc w:val="center"/>
              <w:textAlignment w:val="center"/>
              <w:rPr>
                <w:rFonts w:ascii="Times New Roman" w:hAnsi="Times New Roman" w:eastAsia="宋体"/>
                <w:color w:val="000000"/>
                <w:sz w:val="20"/>
                <w:szCs w:val="20"/>
              </w:rPr>
            </w:pPr>
            <w:r>
              <w:rPr>
                <w:rStyle w:val="23"/>
                <w:rFonts w:hint="default"/>
              </w:rPr>
              <w:t>建设高速公路</w:t>
            </w:r>
            <w:r>
              <w:rPr>
                <w:rStyle w:val="24"/>
                <w:rFonts w:eastAsia="宋体"/>
              </w:rPr>
              <w:t>9</w:t>
            </w:r>
            <w:r>
              <w:rPr>
                <w:rStyle w:val="23"/>
                <w:rFonts w:hint="default"/>
              </w:rPr>
              <w:t>公里</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94C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9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705D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18.0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1ED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A228">
            <w:pPr>
              <w:spacing w:line="320" w:lineRule="exact"/>
              <w:jc w:val="center"/>
              <w:textAlignment w:val="center"/>
              <w:rPr>
                <w:rFonts w:ascii="Times New Roman" w:hAnsi="Times New Roman" w:eastAsia="宋体"/>
                <w:color w:val="000000"/>
                <w:sz w:val="20"/>
                <w:szCs w:val="20"/>
              </w:rPr>
            </w:pPr>
            <w:r>
              <w:rPr>
                <w:rStyle w:val="23"/>
                <w:rFonts w:hint="default"/>
              </w:rPr>
              <w:t>市级储备项目</w:t>
            </w:r>
          </w:p>
        </w:tc>
      </w:tr>
      <w:tr w14:paraId="051C862B">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5844">
            <w:pPr>
              <w:spacing w:line="320" w:lineRule="exact"/>
              <w:jc w:val="center"/>
              <w:textAlignment w:val="center"/>
              <w:rPr>
                <w:rFonts w:ascii="Times New Roman" w:hAnsi="Times New Roman" w:eastAsia="宋体"/>
                <w:b/>
                <w:bCs/>
                <w:color w:val="000000"/>
                <w:sz w:val="20"/>
                <w:szCs w:val="20"/>
              </w:rPr>
            </w:pPr>
            <w:r>
              <w:rPr>
                <w:rStyle w:val="21"/>
                <w:rFonts w:hint="default"/>
              </w:rPr>
              <w:t>（二）</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45DA2B">
            <w:pPr>
              <w:spacing w:line="320" w:lineRule="exact"/>
              <w:jc w:val="left"/>
              <w:textAlignment w:val="center"/>
              <w:rPr>
                <w:rFonts w:ascii="Times New Roman" w:hAnsi="Times New Roman" w:eastAsia="宋体"/>
                <w:b/>
                <w:bCs/>
                <w:color w:val="000000"/>
                <w:sz w:val="20"/>
                <w:szCs w:val="20"/>
              </w:rPr>
            </w:pPr>
            <w:r>
              <w:rPr>
                <w:rStyle w:val="21"/>
                <w:rFonts w:hint="default"/>
              </w:rPr>
              <w:t>国省道（小计）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FCD9">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91.6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8F05">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5.9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D1AD">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5.9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619B">
            <w:pPr>
              <w:spacing w:line="320" w:lineRule="exact"/>
              <w:rPr>
                <w:rFonts w:ascii="Times New Roman" w:hAnsi="Times New Roman" w:eastAsia="宋体"/>
                <w:b/>
                <w:bCs/>
                <w:color w:val="000000"/>
                <w:sz w:val="20"/>
                <w:szCs w:val="20"/>
              </w:rPr>
            </w:pPr>
          </w:p>
        </w:tc>
      </w:tr>
      <w:tr w14:paraId="696DE958">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3E4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628E">
            <w:pPr>
              <w:spacing w:line="320" w:lineRule="exact"/>
              <w:jc w:val="center"/>
              <w:textAlignment w:val="center"/>
              <w:rPr>
                <w:rFonts w:ascii="Times New Roman" w:hAnsi="Times New Roman" w:eastAsia="宋体"/>
                <w:color w:val="000000"/>
                <w:sz w:val="20"/>
                <w:szCs w:val="20"/>
              </w:rPr>
            </w:pPr>
            <w:r>
              <w:rPr>
                <w:rStyle w:val="24"/>
                <w:rFonts w:eastAsia="宋体"/>
              </w:rPr>
              <w:t>G351</w:t>
            </w:r>
            <w:r>
              <w:rPr>
                <w:rStyle w:val="23"/>
                <w:rFonts w:hint="default"/>
              </w:rPr>
              <w:t>长江大桥至红岩头（涪陵界）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C60E">
            <w:pPr>
              <w:spacing w:line="320" w:lineRule="exact"/>
              <w:jc w:val="center"/>
              <w:textAlignment w:val="center"/>
              <w:rPr>
                <w:rFonts w:ascii="Times New Roman" w:hAnsi="Times New Roman" w:eastAsia="宋体"/>
                <w:color w:val="000000"/>
                <w:sz w:val="20"/>
                <w:szCs w:val="20"/>
              </w:rPr>
            </w:pPr>
            <w:r>
              <w:rPr>
                <w:rStyle w:val="23"/>
                <w:rFonts w:hint="default"/>
              </w:rPr>
              <w:t>路面改造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59D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678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57B0">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8.2</w:t>
            </w:r>
            <w:r>
              <w:rPr>
                <w:rStyle w:val="23"/>
                <w:rFonts w:hint="default"/>
              </w:rPr>
              <w:t>公里，按二级公路标准建设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EBC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53D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73D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6437">
            <w:pPr>
              <w:spacing w:line="320" w:lineRule="exact"/>
              <w:jc w:val="center"/>
              <w:textAlignment w:val="center"/>
              <w:rPr>
                <w:rFonts w:ascii="Times New Roman" w:hAnsi="Times New Roman" w:eastAsia="宋体"/>
                <w:color w:val="000000"/>
                <w:sz w:val="20"/>
                <w:szCs w:val="20"/>
              </w:rPr>
            </w:pPr>
            <w:r>
              <w:rPr>
                <w:rStyle w:val="23"/>
                <w:rFonts w:hint="default"/>
              </w:rPr>
              <w:t>市级规划项目</w:t>
            </w:r>
          </w:p>
        </w:tc>
      </w:tr>
      <w:tr w14:paraId="4C64D164">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8E9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B8B2">
            <w:pPr>
              <w:spacing w:line="320" w:lineRule="exact"/>
              <w:jc w:val="center"/>
              <w:textAlignment w:val="center"/>
              <w:rPr>
                <w:rFonts w:ascii="Times New Roman" w:hAnsi="Times New Roman" w:eastAsia="宋体"/>
                <w:color w:val="000000"/>
                <w:sz w:val="20"/>
                <w:szCs w:val="20"/>
              </w:rPr>
            </w:pPr>
            <w:r>
              <w:rPr>
                <w:rStyle w:val="24"/>
                <w:rFonts w:eastAsia="宋体"/>
              </w:rPr>
              <w:t>G348</w:t>
            </w:r>
            <w:r>
              <w:rPr>
                <w:rStyle w:val="23"/>
                <w:rFonts w:hint="default"/>
              </w:rPr>
              <w:t>古家店至长江大桥改线工程</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6478E">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4C3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C7E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F09C">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7</w:t>
            </w:r>
            <w:r>
              <w:rPr>
                <w:rStyle w:val="23"/>
                <w:rFonts w:hint="default"/>
              </w:rPr>
              <w:t>公里，按一级公路标准建设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D3F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7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36D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4.2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832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4.2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3B75">
            <w:pPr>
              <w:spacing w:line="320" w:lineRule="exact"/>
              <w:jc w:val="center"/>
              <w:textAlignment w:val="center"/>
              <w:rPr>
                <w:rFonts w:ascii="Times New Roman" w:hAnsi="Times New Roman" w:eastAsia="宋体"/>
                <w:color w:val="000000"/>
                <w:sz w:val="20"/>
                <w:szCs w:val="20"/>
              </w:rPr>
            </w:pPr>
            <w:r>
              <w:rPr>
                <w:rStyle w:val="23"/>
                <w:rFonts w:hint="default"/>
              </w:rPr>
              <w:t>市级储备项目</w:t>
            </w:r>
          </w:p>
        </w:tc>
      </w:tr>
      <w:tr w14:paraId="6F53480D">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503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3</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7FF5">
            <w:pPr>
              <w:spacing w:line="320" w:lineRule="exact"/>
              <w:jc w:val="center"/>
              <w:textAlignment w:val="center"/>
              <w:rPr>
                <w:rFonts w:ascii="Times New Roman" w:hAnsi="Times New Roman" w:eastAsia="宋体"/>
                <w:color w:val="000000"/>
                <w:sz w:val="20"/>
                <w:szCs w:val="20"/>
              </w:rPr>
            </w:pPr>
            <w:r>
              <w:rPr>
                <w:rStyle w:val="24"/>
                <w:rFonts w:eastAsia="宋体"/>
              </w:rPr>
              <w:t>G351</w:t>
            </w:r>
            <w:r>
              <w:rPr>
                <w:rStyle w:val="23"/>
                <w:rFonts w:hint="default"/>
              </w:rPr>
              <w:t>龙河东至高镇</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1994">
            <w:pPr>
              <w:spacing w:line="320" w:lineRule="exact"/>
              <w:jc w:val="center"/>
              <w:textAlignment w:val="center"/>
              <w:rPr>
                <w:rFonts w:ascii="Times New Roman" w:hAnsi="Times New Roman" w:eastAsia="宋体"/>
                <w:color w:val="000000"/>
                <w:sz w:val="20"/>
                <w:szCs w:val="20"/>
              </w:rPr>
            </w:pPr>
            <w:r>
              <w:rPr>
                <w:rStyle w:val="23"/>
                <w:rFonts w:hint="default"/>
              </w:rPr>
              <w:t>路面改造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DA2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D98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01FB">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21.4</w:t>
            </w:r>
            <w:r>
              <w:rPr>
                <w:rStyle w:val="23"/>
                <w:rFonts w:hint="default"/>
              </w:rPr>
              <w:t>公里，按一级公路</w:t>
            </w:r>
            <w:r>
              <w:rPr>
                <w:rStyle w:val="24"/>
                <w:rFonts w:eastAsia="宋体"/>
              </w:rPr>
              <w:t>8</w:t>
            </w:r>
            <w:r>
              <w:rPr>
                <w:rStyle w:val="23"/>
                <w:rFonts w:hint="default"/>
              </w:rPr>
              <w:t>公里，二级公路</w:t>
            </w:r>
            <w:r>
              <w:rPr>
                <w:rStyle w:val="24"/>
                <w:rFonts w:eastAsia="宋体"/>
              </w:rPr>
              <w:t>13.4</w:t>
            </w:r>
            <w:r>
              <w:rPr>
                <w:rStyle w:val="23"/>
                <w:rFonts w:hint="default"/>
              </w:rPr>
              <w:t>公里标准建设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3DF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D2D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AB3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6CB3">
            <w:pPr>
              <w:spacing w:line="320" w:lineRule="exact"/>
              <w:jc w:val="center"/>
              <w:textAlignment w:val="center"/>
              <w:rPr>
                <w:rFonts w:ascii="Times New Roman" w:hAnsi="Times New Roman" w:eastAsia="宋体"/>
                <w:color w:val="000000"/>
                <w:sz w:val="20"/>
                <w:szCs w:val="20"/>
              </w:rPr>
            </w:pPr>
            <w:r>
              <w:rPr>
                <w:rStyle w:val="23"/>
                <w:rFonts w:hint="default"/>
              </w:rPr>
              <w:t>市级规划项目</w:t>
            </w:r>
          </w:p>
        </w:tc>
      </w:tr>
      <w:tr w14:paraId="69BFEACA">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7A8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4</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1B9D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S520老鸦阡至厢坝</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700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路面改造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4BD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442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1057">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26</w:t>
            </w:r>
            <w:r>
              <w:rPr>
                <w:rStyle w:val="23"/>
                <w:rFonts w:hint="default"/>
              </w:rPr>
              <w:t>公里，二级公路，路面改造</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EA7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A58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DD8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785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5075D018">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DC4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5</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CBB8">
            <w:pPr>
              <w:spacing w:line="320" w:lineRule="exact"/>
              <w:jc w:val="center"/>
              <w:textAlignment w:val="center"/>
              <w:rPr>
                <w:rFonts w:ascii="Times New Roman" w:hAnsi="Times New Roman" w:eastAsia="宋体"/>
                <w:color w:val="000000"/>
                <w:sz w:val="20"/>
                <w:szCs w:val="20"/>
              </w:rPr>
            </w:pPr>
            <w:r>
              <w:rPr>
                <w:rStyle w:val="24"/>
                <w:rFonts w:eastAsia="宋体"/>
              </w:rPr>
              <w:t>S512</w:t>
            </w:r>
            <w:r>
              <w:rPr>
                <w:rStyle w:val="23"/>
                <w:rFonts w:hint="default"/>
              </w:rPr>
              <w:t>永兴至一碗水</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404D">
            <w:pPr>
              <w:spacing w:line="320" w:lineRule="exact"/>
              <w:jc w:val="center"/>
              <w:textAlignment w:val="center"/>
              <w:rPr>
                <w:rFonts w:ascii="Times New Roman" w:hAnsi="Times New Roman" w:eastAsia="宋体"/>
                <w:color w:val="000000"/>
                <w:sz w:val="20"/>
                <w:szCs w:val="20"/>
              </w:rPr>
            </w:pPr>
            <w:r>
              <w:rPr>
                <w:rStyle w:val="23"/>
                <w:rFonts w:hint="default"/>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F89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9E1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979C">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3</w:t>
            </w:r>
            <w:r>
              <w:rPr>
                <w:rStyle w:val="23"/>
                <w:rFonts w:hint="default"/>
              </w:rPr>
              <w:t>公里，按三级公路标准建设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D9D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734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1CA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660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78D267EE">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DC7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6</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7437">
            <w:pPr>
              <w:spacing w:line="320" w:lineRule="exact"/>
              <w:jc w:val="center"/>
              <w:textAlignment w:val="center"/>
              <w:rPr>
                <w:rFonts w:ascii="Times New Roman" w:hAnsi="Times New Roman" w:eastAsia="宋体"/>
                <w:color w:val="000000"/>
                <w:sz w:val="20"/>
                <w:szCs w:val="20"/>
              </w:rPr>
            </w:pPr>
            <w:r>
              <w:rPr>
                <w:rStyle w:val="24"/>
                <w:rFonts w:eastAsia="宋体"/>
              </w:rPr>
              <w:t>S102</w:t>
            </w:r>
            <w:r>
              <w:rPr>
                <w:rStyle w:val="23"/>
                <w:rFonts w:hint="default"/>
              </w:rPr>
              <w:t>猪鼻孔至包鸾</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58C9">
            <w:pPr>
              <w:spacing w:line="320" w:lineRule="exact"/>
              <w:jc w:val="center"/>
              <w:textAlignment w:val="center"/>
              <w:rPr>
                <w:rFonts w:ascii="Times New Roman" w:hAnsi="Times New Roman" w:eastAsia="宋体"/>
                <w:color w:val="000000"/>
                <w:sz w:val="20"/>
                <w:szCs w:val="20"/>
              </w:rPr>
            </w:pPr>
            <w:r>
              <w:rPr>
                <w:rStyle w:val="23"/>
                <w:rFonts w:hint="default"/>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178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FA0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7CB6">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8</w:t>
            </w:r>
            <w:r>
              <w:rPr>
                <w:rStyle w:val="23"/>
                <w:rFonts w:hint="default"/>
              </w:rPr>
              <w:t>公里，按二级公路标准建设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5D4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E5F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D21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5A4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16320758">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202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7</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D84C">
            <w:pPr>
              <w:spacing w:line="320" w:lineRule="exact"/>
              <w:jc w:val="center"/>
              <w:textAlignment w:val="center"/>
              <w:rPr>
                <w:rFonts w:ascii="Times New Roman" w:hAnsi="Times New Roman" w:eastAsia="宋体"/>
                <w:color w:val="000000"/>
                <w:sz w:val="20"/>
                <w:szCs w:val="20"/>
              </w:rPr>
            </w:pPr>
            <w:r>
              <w:rPr>
                <w:rStyle w:val="24"/>
                <w:rFonts w:eastAsia="宋体"/>
              </w:rPr>
              <w:t>S518</w:t>
            </w:r>
            <w:r>
              <w:rPr>
                <w:rStyle w:val="23"/>
                <w:rFonts w:hint="default"/>
              </w:rPr>
              <w:t>韭菜堡至洞湾</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3FAF">
            <w:pPr>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B43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50E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C71C">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18</w:t>
            </w:r>
            <w:r>
              <w:rPr>
                <w:rStyle w:val="23"/>
                <w:rFonts w:hint="default"/>
              </w:rPr>
              <w:t>公里，按三级公路标准建设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CA4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1A3C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53F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0.6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323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4CBE6CB6">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9BFC">
            <w:pPr>
              <w:spacing w:line="320" w:lineRule="exact"/>
              <w:jc w:val="center"/>
              <w:textAlignment w:val="center"/>
              <w:rPr>
                <w:rFonts w:ascii="Times New Roman" w:hAnsi="Times New Roman" w:eastAsia="宋体"/>
                <w:b/>
                <w:bCs/>
                <w:color w:val="000000"/>
                <w:sz w:val="20"/>
                <w:szCs w:val="20"/>
              </w:rPr>
            </w:pPr>
            <w:r>
              <w:rPr>
                <w:rStyle w:val="21"/>
                <w:rFonts w:hint="default"/>
              </w:rPr>
              <w:t>（三）</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841C9A">
            <w:pPr>
              <w:spacing w:line="320" w:lineRule="exact"/>
              <w:jc w:val="left"/>
              <w:textAlignment w:val="center"/>
              <w:rPr>
                <w:rFonts w:ascii="Times New Roman" w:hAnsi="Times New Roman" w:eastAsia="宋体"/>
                <w:b/>
                <w:bCs/>
                <w:color w:val="000000"/>
                <w:sz w:val="20"/>
                <w:szCs w:val="20"/>
              </w:rPr>
            </w:pPr>
            <w:r>
              <w:rPr>
                <w:rStyle w:val="21"/>
                <w:rFonts w:hint="default"/>
              </w:rPr>
              <w:t>高速公路及重要连接线（小计）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F80C">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46.0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9F85">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16.5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24FB">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15.4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9BA7">
            <w:pPr>
              <w:spacing w:line="320" w:lineRule="exact"/>
              <w:jc w:val="center"/>
              <w:rPr>
                <w:rFonts w:ascii="Times New Roman" w:hAnsi="Times New Roman" w:eastAsia="宋体"/>
                <w:b/>
                <w:bCs/>
                <w:color w:val="000000"/>
                <w:sz w:val="20"/>
                <w:szCs w:val="20"/>
              </w:rPr>
            </w:pPr>
          </w:p>
        </w:tc>
      </w:tr>
      <w:tr w14:paraId="216B1649">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EC2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BA96">
            <w:pPr>
              <w:spacing w:line="320" w:lineRule="exact"/>
              <w:jc w:val="center"/>
              <w:textAlignment w:val="center"/>
              <w:rPr>
                <w:rFonts w:ascii="宋体" w:hAnsi="宋体" w:eastAsia="宋体" w:cs="宋体"/>
                <w:color w:val="000000"/>
                <w:sz w:val="20"/>
                <w:szCs w:val="20"/>
              </w:rPr>
            </w:pPr>
            <w:r>
              <w:rPr>
                <w:rStyle w:val="23"/>
                <w:rFonts w:hint="default"/>
              </w:rPr>
              <w:t>垫丰武高速社坛互通至</w:t>
            </w:r>
            <w:r>
              <w:rPr>
                <w:rStyle w:val="24"/>
                <w:rFonts w:eastAsia="宋体"/>
              </w:rPr>
              <w:t>S205</w:t>
            </w:r>
            <w:r>
              <w:rPr>
                <w:rStyle w:val="23"/>
                <w:rFonts w:hint="default"/>
              </w:rPr>
              <w:t>连接线</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91E0">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7DC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1C8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2029</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567F">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8</w:t>
            </w:r>
            <w:r>
              <w:rPr>
                <w:rStyle w:val="23"/>
                <w:rFonts w:hint="default"/>
              </w:rPr>
              <w:t>公里，按二级公路标准建设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796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D59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E13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45B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10205ADE">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34BE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09C2">
            <w:pPr>
              <w:spacing w:line="320" w:lineRule="exact"/>
              <w:jc w:val="center"/>
              <w:textAlignment w:val="center"/>
              <w:rPr>
                <w:rFonts w:ascii="Times New Roman" w:hAnsi="Times New Roman" w:eastAsia="宋体"/>
                <w:color w:val="000000"/>
                <w:sz w:val="20"/>
                <w:szCs w:val="20"/>
              </w:rPr>
            </w:pPr>
            <w:r>
              <w:rPr>
                <w:rStyle w:val="23"/>
                <w:rFonts w:hint="default"/>
              </w:rPr>
              <w:t>垫丰武高速保合盖灵庙互通至</w:t>
            </w:r>
            <w:r>
              <w:rPr>
                <w:rStyle w:val="24"/>
                <w:rFonts w:eastAsia="宋体"/>
              </w:rPr>
              <w:t>S205</w:t>
            </w:r>
            <w:r>
              <w:rPr>
                <w:rStyle w:val="23"/>
                <w:rFonts w:hint="default"/>
              </w:rPr>
              <w:t>连接线</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F3D0">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E87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1B7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2029</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0E1A">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8</w:t>
            </w:r>
            <w:r>
              <w:rPr>
                <w:rStyle w:val="23"/>
                <w:rFonts w:hint="default"/>
              </w:rPr>
              <w:t>公里，按二级公路标准建设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FB1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925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0.9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75D7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0.9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841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31262062">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E58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3</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BF2B">
            <w:pPr>
              <w:spacing w:line="320" w:lineRule="exact"/>
              <w:jc w:val="center"/>
              <w:textAlignment w:val="center"/>
              <w:rPr>
                <w:rFonts w:ascii="Times New Roman" w:hAnsi="Times New Roman" w:eastAsia="宋体"/>
                <w:color w:val="000000"/>
                <w:sz w:val="20"/>
                <w:szCs w:val="20"/>
              </w:rPr>
            </w:pPr>
            <w:r>
              <w:rPr>
                <w:rStyle w:val="23"/>
                <w:rFonts w:hint="default"/>
              </w:rPr>
              <w:t>垫丰武高速树人互通连接线</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DB7D">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CAA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A90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2029</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7E98">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2</w:t>
            </w:r>
            <w:r>
              <w:rPr>
                <w:rStyle w:val="23"/>
                <w:rFonts w:hint="default"/>
              </w:rPr>
              <w:t>公里，按二级公路标准建设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0D2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C42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0.4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AFE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0.4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8F9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6B7C3310">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7D0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4</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64B4">
            <w:pPr>
              <w:spacing w:line="320" w:lineRule="exact"/>
              <w:jc w:val="center"/>
              <w:textAlignment w:val="center"/>
              <w:rPr>
                <w:rFonts w:ascii="宋体" w:hAnsi="宋体" w:eastAsia="宋体" w:cs="宋体"/>
                <w:color w:val="000000"/>
                <w:sz w:val="20"/>
                <w:szCs w:val="20"/>
              </w:rPr>
            </w:pPr>
            <w:r>
              <w:rPr>
                <w:rStyle w:val="23"/>
                <w:rFonts w:hint="default"/>
              </w:rPr>
              <w:t>垫丰武高速兴义过江公路桥梁北岸至国道</w:t>
            </w:r>
            <w:r>
              <w:rPr>
                <w:rStyle w:val="24"/>
                <w:rFonts w:eastAsia="宋体"/>
              </w:rPr>
              <w:t>G348</w:t>
            </w:r>
            <w:r>
              <w:rPr>
                <w:rStyle w:val="23"/>
                <w:rFonts w:hint="default"/>
              </w:rPr>
              <w:t>连接线</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99DC">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F165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A80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2026</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D0E9">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8</w:t>
            </w:r>
            <w:r>
              <w:rPr>
                <w:rStyle w:val="23"/>
                <w:rFonts w:hint="default"/>
              </w:rPr>
              <w:t>公里，按二级公路标准建设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6FF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87B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1E1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1.6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657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0EE22893">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334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5</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AA9B">
            <w:pPr>
              <w:spacing w:line="320" w:lineRule="exact"/>
              <w:jc w:val="center"/>
              <w:textAlignment w:val="center"/>
              <w:rPr>
                <w:rFonts w:ascii="Times New Roman" w:hAnsi="Times New Roman" w:eastAsia="宋体"/>
                <w:color w:val="000000"/>
                <w:sz w:val="20"/>
                <w:szCs w:val="20"/>
              </w:rPr>
            </w:pPr>
            <w:r>
              <w:rPr>
                <w:rStyle w:val="23"/>
                <w:rFonts w:hint="default"/>
              </w:rPr>
              <w:t>垫丰武高速兴义过江公路桥梁</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22FA3">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6C6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BD2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2026</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B45F">
            <w:pPr>
              <w:spacing w:line="320" w:lineRule="exact"/>
              <w:jc w:val="center"/>
              <w:textAlignment w:val="center"/>
              <w:rPr>
                <w:rFonts w:ascii="Times New Roman" w:hAnsi="Times New Roman" w:eastAsia="宋体"/>
                <w:color w:val="000000"/>
                <w:sz w:val="20"/>
                <w:szCs w:val="20"/>
              </w:rPr>
            </w:pPr>
            <w:r>
              <w:rPr>
                <w:rStyle w:val="23"/>
                <w:rFonts w:hint="default"/>
              </w:rPr>
              <w:t>全长约</w:t>
            </w:r>
            <w:r>
              <w:rPr>
                <w:rStyle w:val="24"/>
                <w:rFonts w:eastAsia="宋体"/>
              </w:rPr>
              <w:t>1500</w:t>
            </w:r>
            <w:r>
              <w:rPr>
                <w:rStyle w:val="23"/>
                <w:rFonts w:hint="default"/>
              </w:rPr>
              <w:t>米，与垫丰武过江桥梁同桥墩，上下各通道</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31E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45A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94C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2F1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71733981">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7AE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6</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5097">
            <w:pPr>
              <w:spacing w:line="320" w:lineRule="exact"/>
              <w:jc w:val="center"/>
              <w:textAlignment w:val="center"/>
              <w:rPr>
                <w:rFonts w:ascii="宋体" w:hAnsi="宋体" w:eastAsia="宋体" w:cs="宋体"/>
                <w:color w:val="000000"/>
                <w:sz w:val="20"/>
                <w:szCs w:val="20"/>
              </w:rPr>
            </w:pPr>
            <w:r>
              <w:rPr>
                <w:rStyle w:val="23"/>
                <w:rFonts w:hint="default"/>
              </w:rPr>
              <w:t>垫丰武高速兴义过江公路桥梁南岸至国道</w:t>
            </w:r>
            <w:r>
              <w:rPr>
                <w:rStyle w:val="24"/>
                <w:rFonts w:eastAsia="宋体"/>
              </w:rPr>
              <w:t>G351</w:t>
            </w:r>
            <w:r>
              <w:rPr>
                <w:rStyle w:val="23"/>
                <w:rFonts w:hint="default"/>
              </w:rPr>
              <w:t>连接线</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EFD7">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F94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8BA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2026</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4FFC">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3</w:t>
            </w:r>
            <w:r>
              <w:rPr>
                <w:rStyle w:val="23"/>
                <w:rFonts w:hint="default"/>
              </w:rPr>
              <w:t>公里，按二级公路标准建设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2BA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013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533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0.6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024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07843B57">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681C">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7</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2FC7">
            <w:pPr>
              <w:spacing w:line="290" w:lineRule="exact"/>
              <w:jc w:val="center"/>
              <w:textAlignment w:val="center"/>
              <w:rPr>
                <w:rFonts w:ascii="Times New Roman" w:hAnsi="Times New Roman" w:eastAsia="宋体"/>
                <w:color w:val="000000"/>
                <w:sz w:val="20"/>
                <w:szCs w:val="20"/>
              </w:rPr>
            </w:pPr>
            <w:r>
              <w:rPr>
                <w:rStyle w:val="23"/>
                <w:rFonts w:hint="default"/>
              </w:rPr>
              <w:t>垫丰武高速三建互通至</w:t>
            </w:r>
            <w:r>
              <w:rPr>
                <w:rStyle w:val="24"/>
                <w:rFonts w:eastAsia="宋体"/>
              </w:rPr>
              <w:t>S102</w:t>
            </w:r>
            <w:r>
              <w:rPr>
                <w:rStyle w:val="23"/>
                <w:rFonts w:hint="default"/>
              </w:rPr>
              <w:t>连接线</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40D5">
            <w:pPr>
              <w:spacing w:line="29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DB3C">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2DEC">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2029</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8349">
            <w:pPr>
              <w:spacing w:line="29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5</w:t>
            </w:r>
            <w:r>
              <w:rPr>
                <w:rStyle w:val="23"/>
                <w:rFonts w:hint="default"/>
              </w:rPr>
              <w:t>公里，按二级公路标准建设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B0B6">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DA66">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0.9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A520">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0.9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513B">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05E2BA11">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79AC">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8</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4914">
            <w:pPr>
              <w:spacing w:line="290" w:lineRule="exact"/>
              <w:jc w:val="center"/>
              <w:textAlignment w:val="center"/>
              <w:rPr>
                <w:rFonts w:ascii="Times New Roman" w:hAnsi="Times New Roman" w:eastAsia="宋体"/>
                <w:color w:val="000000"/>
                <w:sz w:val="20"/>
                <w:szCs w:val="20"/>
              </w:rPr>
            </w:pPr>
            <w:r>
              <w:rPr>
                <w:rStyle w:val="23"/>
                <w:rFonts w:hint="default"/>
              </w:rPr>
              <w:t>垫丰武高速暨龙互通至</w:t>
            </w:r>
            <w:r>
              <w:rPr>
                <w:rStyle w:val="24"/>
                <w:rFonts w:eastAsia="宋体"/>
              </w:rPr>
              <w:t>S520</w:t>
            </w:r>
            <w:r>
              <w:rPr>
                <w:rStyle w:val="23"/>
                <w:rFonts w:hint="default"/>
              </w:rPr>
              <w:t>连接线</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4DB7">
            <w:pPr>
              <w:spacing w:line="29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F20E">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36E8">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2029</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2246">
            <w:pPr>
              <w:spacing w:line="29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2</w:t>
            </w:r>
            <w:r>
              <w:rPr>
                <w:rStyle w:val="23"/>
                <w:rFonts w:hint="default"/>
              </w:rPr>
              <w:t>公里，按二级公路标准建设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0112">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266A">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0.4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6FBB">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0.4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0A60">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2E7842D2">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5AE5">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9</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FF103">
            <w:pPr>
              <w:spacing w:line="290" w:lineRule="exact"/>
              <w:jc w:val="center"/>
              <w:textAlignment w:val="center"/>
              <w:rPr>
                <w:rFonts w:ascii="Times New Roman" w:hAnsi="Times New Roman" w:eastAsia="宋体"/>
                <w:color w:val="000000"/>
                <w:sz w:val="20"/>
                <w:szCs w:val="20"/>
              </w:rPr>
            </w:pPr>
            <w:r>
              <w:rPr>
                <w:rStyle w:val="23"/>
                <w:rFonts w:hint="default"/>
              </w:rPr>
              <w:t>涪丰石高速湛普互通及其</w:t>
            </w:r>
            <w:r>
              <w:rPr>
                <w:rStyle w:val="23"/>
                <w:rFonts w:hint="eastAsia" w:eastAsia="宋体"/>
                <w:lang w:eastAsia="zh-CN"/>
              </w:rPr>
              <w:t>连接</w:t>
            </w:r>
            <w:r>
              <w:rPr>
                <w:rStyle w:val="23"/>
                <w:rFonts w:hint="default"/>
              </w:rPr>
              <w:t>线</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8E45">
            <w:pPr>
              <w:spacing w:line="29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633B">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917B">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2027</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036A">
            <w:pPr>
              <w:spacing w:line="290" w:lineRule="exact"/>
              <w:jc w:val="center"/>
              <w:textAlignment w:val="center"/>
              <w:rPr>
                <w:rFonts w:ascii="Times New Roman" w:hAnsi="Times New Roman" w:eastAsia="宋体"/>
                <w:color w:val="000000"/>
                <w:sz w:val="20"/>
                <w:szCs w:val="20"/>
              </w:rPr>
            </w:pPr>
            <w:r>
              <w:rPr>
                <w:rStyle w:val="23"/>
                <w:rFonts w:hint="default"/>
              </w:rPr>
              <w:t>湛普新建下道口，含互通及</w:t>
            </w:r>
            <w:r>
              <w:rPr>
                <w:rStyle w:val="23"/>
                <w:rFonts w:hint="eastAsia" w:eastAsia="宋体"/>
                <w:lang w:eastAsia="zh-CN"/>
              </w:rPr>
              <w:t>连接</w:t>
            </w:r>
            <w:r>
              <w:rPr>
                <w:rStyle w:val="23"/>
                <w:rFonts w:hint="default"/>
              </w:rPr>
              <w:t>线</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0D3C">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B9DA">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1.9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7638E">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0.8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F127">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5902CEAD">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01E0">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10</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7501">
            <w:pPr>
              <w:spacing w:line="290" w:lineRule="exact"/>
              <w:jc w:val="center"/>
              <w:textAlignment w:val="center"/>
              <w:rPr>
                <w:rFonts w:ascii="Times New Roman" w:hAnsi="Times New Roman" w:eastAsia="宋体"/>
                <w:color w:val="000000"/>
                <w:sz w:val="20"/>
                <w:szCs w:val="20"/>
              </w:rPr>
            </w:pPr>
            <w:r>
              <w:rPr>
                <w:rStyle w:val="23"/>
                <w:rFonts w:hint="default"/>
              </w:rPr>
              <w:t>重庆港丰都港区水天坪作业区公路连接线</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F49C">
            <w:pPr>
              <w:spacing w:line="290" w:lineRule="exact"/>
              <w:jc w:val="center"/>
              <w:textAlignment w:val="center"/>
              <w:rPr>
                <w:rFonts w:ascii="Times New Roman" w:hAnsi="Times New Roman" w:eastAsia="宋体"/>
                <w:color w:val="000000"/>
                <w:sz w:val="20"/>
                <w:szCs w:val="20"/>
              </w:rPr>
            </w:pPr>
            <w:r>
              <w:rPr>
                <w:rStyle w:val="23"/>
                <w:rFonts w:hint="default"/>
              </w:rPr>
              <w:t>改扩建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2E6E">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A214">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7934">
            <w:pPr>
              <w:spacing w:line="290" w:lineRule="exact"/>
              <w:jc w:val="center"/>
              <w:textAlignment w:val="center"/>
              <w:rPr>
                <w:rFonts w:ascii="Times New Roman" w:hAnsi="Times New Roman" w:eastAsia="宋体"/>
                <w:color w:val="000000"/>
                <w:sz w:val="20"/>
                <w:szCs w:val="20"/>
              </w:rPr>
            </w:pPr>
            <w:r>
              <w:rPr>
                <w:rStyle w:val="23"/>
                <w:rFonts w:hint="default"/>
              </w:rPr>
              <w:t>改扩建一级公路</w:t>
            </w:r>
            <w:r>
              <w:rPr>
                <w:rStyle w:val="24"/>
                <w:rFonts w:eastAsia="宋体"/>
              </w:rPr>
              <w:t>3.5</w:t>
            </w:r>
            <w:r>
              <w:rPr>
                <w:rStyle w:val="23"/>
                <w:rFonts w:hint="default"/>
              </w:rPr>
              <w:t>公里</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D137">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4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24E6">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CC07">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0.6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15A7A">
            <w:pPr>
              <w:spacing w:line="290" w:lineRule="exact"/>
              <w:jc w:val="center"/>
              <w:textAlignment w:val="center"/>
              <w:rPr>
                <w:rFonts w:ascii="Times New Roman" w:hAnsi="Times New Roman" w:eastAsia="宋体"/>
                <w:color w:val="000000"/>
                <w:sz w:val="20"/>
                <w:szCs w:val="20"/>
              </w:rPr>
            </w:pPr>
            <w:r>
              <w:rPr>
                <w:rStyle w:val="23"/>
                <w:rFonts w:hint="default"/>
              </w:rPr>
              <w:t>市级规划项目</w:t>
            </w:r>
          </w:p>
        </w:tc>
      </w:tr>
      <w:tr w14:paraId="12B1944F">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3AB4">
            <w:pPr>
              <w:spacing w:line="290" w:lineRule="exact"/>
              <w:jc w:val="center"/>
              <w:textAlignment w:val="center"/>
              <w:rPr>
                <w:rFonts w:ascii="Times New Roman" w:hAnsi="Times New Roman" w:eastAsia="宋体"/>
                <w:b/>
                <w:bCs/>
                <w:color w:val="000000"/>
                <w:sz w:val="20"/>
                <w:szCs w:val="20"/>
              </w:rPr>
            </w:pPr>
            <w:r>
              <w:rPr>
                <w:rStyle w:val="21"/>
                <w:rFonts w:hint="default"/>
              </w:rPr>
              <w:t>（四）</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59ADA2">
            <w:pPr>
              <w:spacing w:line="290" w:lineRule="exact"/>
              <w:jc w:val="left"/>
              <w:textAlignment w:val="center"/>
              <w:rPr>
                <w:rFonts w:ascii="Times New Roman" w:hAnsi="Times New Roman" w:eastAsia="宋体"/>
                <w:b/>
                <w:bCs/>
                <w:color w:val="000000"/>
                <w:sz w:val="20"/>
                <w:szCs w:val="20"/>
              </w:rPr>
            </w:pPr>
            <w:r>
              <w:rPr>
                <w:rStyle w:val="21"/>
                <w:rFonts w:hint="default"/>
              </w:rPr>
              <w:t>农村公路（小计）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99AB">
            <w:pPr>
              <w:spacing w:line="290" w:lineRule="exact"/>
              <w:jc w:val="center"/>
              <w:rPr>
                <w:rFonts w:ascii="Times New Roman" w:hAnsi="Times New Roman" w:eastAsia="宋体"/>
                <w:b/>
                <w:bCs/>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833E">
            <w:pPr>
              <w:spacing w:line="29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11.1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34F0">
            <w:pPr>
              <w:spacing w:line="29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11.0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EB8A">
            <w:pPr>
              <w:spacing w:line="290" w:lineRule="exact"/>
              <w:jc w:val="center"/>
              <w:rPr>
                <w:rFonts w:ascii="Times New Roman" w:hAnsi="Times New Roman" w:eastAsia="宋体"/>
                <w:b/>
                <w:bCs/>
                <w:color w:val="000000"/>
                <w:sz w:val="20"/>
                <w:szCs w:val="20"/>
              </w:rPr>
            </w:pPr>
          </w:p>
        </w:tc>
      </w:tr>
      <w:tr w14:paraId="3F70AC5D">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B8B4">
            <w:pPr>
              <w:spacing w:line="290" w:lineRule="exact"/>
              <w:jc w:val="center"/>
              <w:rPr>
                <w:rFonts w:ascii="Times New Roman" w:hAnsi="Times New Roman" w:eastAsia="宋体"/>
                <w:b/>
                <w:bCs/>
                <w:color w:val="000000"/>
                <w:sz w:val="20"/>
                <w:szCs w:val="20"/>
              </w:rPr>
            </w:pP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F64999">
            <w:pPr>
              <w:spacing w:line="290" w:lineRule="exact"/>
              <w:jc w:val="left"/>
              <w:textAlignment w:val="center"/>
              <w:rPr>
                <w:rFonts w:ascii="Times New Roman" w:hAnsi="Times New Roman" w:eastAsia="宋体"/>
                <w:b/>
                <w:bCs/>
                <w:color w:val="000000"/>
                <w:sz w:val="20"/>
                <w:szCs w:val="20"/>
              </w:rPr>
            </w:pPr>
            <w:r>
              <w:rPr>
                <w:rStyle w:val="21"/>
                <w:rFonts w:hint="default"/>
              </w:rPr>
              <w:t>重要县乡道（分为景区园区连接道、乡镇联网路等）</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12E2">
            <w:pPr>
              <w:spacing w:line="29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208.7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F0DB">
            <w:pPr>
              <w:spacing w:line="29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6.1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3BF8">
            <w:pPr>
              <w:spacing w:line="29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5.9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9BB6">
            <w:pPr>
              <w:spacing w:line="290" w:lineRule="exact"/>
              <w:jc w:val="center"/>
              <w:rPr>
                <w:rFonts w:ascii="Times New Roman" w:hAnsi="Times New Roman" w:eastAsia="宋体"/>
                <w:b/>
                <w:bCs/>
                <w:color w:val="000000"/>
                <w:sz w:val="20"/>
                <w:szCs w:val="20"/>
              </w:rPr>
            </w:pPr>
          </w:p>
        </w:tc>
      </w:tr>
      <w:tr w14:paraId="2234DC3B">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9D1E">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3999">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青龙至十直公路</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3DBD">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续建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0475">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6210">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6AE9">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全长16公里，四级公路双车道</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A548">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0C13">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5993">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0.8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85DC">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6F58E545">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5CC3">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9414">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社坛至大保</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CBAD">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E7EB">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3324">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F927">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全长7公里，四级公路双车道沥青砼路面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1705">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7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57B0">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1624">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3B3E">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591E0E5E">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932C">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3</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CA4B">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保合经马灯坝、屋边至双龙公路</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E047">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E5D3C">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0C705">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8BC5">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全长16公里，四级公路双车道沥青砼路面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6F5C">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BE4E">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35FF">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2A19">
            <w:pPr>
              <w:spacing w:line="29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0022BB15">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8CB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4</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BBBC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双路连天栈道公路</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60C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路面改造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513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4AB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B1D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全长8公里，砼路面升级改造为沥青砼路面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392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C6A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D96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CB0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5283CC6B">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565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5</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8B9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南毛路（栗子至毛坪接暨龙公路）</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02E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142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E5E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5263">
            <w:pPr>
              <w:spacing w:line="320" w:lineRule="exact"/>
              <w:jc w:val="center"/>
              <w:textAlignment w:val="center"/>
              <w:rPr>
                <w:rFonts w:ascii="宋体" w:hAnsi="宋体" w:eastAsia="宋体" w:cs="宋体"/>
                <w:color w:val="000000"/>
                <w:sz w:val="20"/>
                <w:szCs w:val="20"/>
              </w:rPr>
            </w:pPr>
            <w:r>
              <w:rPr>
                <w:rStyle w:val="23"/>
                <w:rFonts w:hint="default"/>
              </w:rPr>
              <w:t>全长</w:t>
            </w:r>
            <w:r>
              <w:rPr>
                <w:rStyle w:val="24"/>
                <w:rFonts w:eastAsia="宋体"/>
              </w:rPr>
              <w:t>12</w:t>
            </w:r>
            <w:r>
              <w:rPr>
                <w:rStyle w:val="23"/>
                <w:rFonts w:hint="default"/>
              </w:rPr>
              <w:t>公里，四级公路双车道沥青砼路面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63C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FA7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E8B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FED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2AD91483">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B50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6</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B23E">
            <w:pPr>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南江至栗子</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0E8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BD6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344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B94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全长10公里，按三级公路宽度升级改造为沥青砼路面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DDF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6DD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1.9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F76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1.9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DB0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5B140F98">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C0C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7</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3AE6">
            <w:pPr>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何家坝至太平</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369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A7F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A34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37C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全长8公里，按三级公路宽度升级改造为沥青砼路面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DA24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0BC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BF0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403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1A513E99">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F08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8</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584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仁梁路</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9A6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F14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7B4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085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全长17公里，扩建后路面重新改造</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FA9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17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CA0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499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FB5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6D100927">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E46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9</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07D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双龙至灯塔公路</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88E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170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EFA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3D5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道路全长6.5公里，改扩建，沥青砼路面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539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68E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8B5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AC1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693EADAC">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E00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10</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5E8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董家至新立</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653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改扩建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976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4FB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98C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全长13公里，其中新建0.5公里，其余扩建后路面改造</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668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808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FBC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125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667812B8">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7B3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904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许明至培观</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89B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ACF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549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843A">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11.5</w:t>
            </w:r>
            <w:r>
              <w:rPr>
                <w:rStyle w:val="23"/>
                <w:rFonts w:hint="default"/>
              </w:rPr>
              <w:t>公里，四级公路双车道沥青砼路面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BE1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0F4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EA6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9DE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1EE99220">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20A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7E8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社坛永兴至兴龙镇公路</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D39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79E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812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6DAF">
            <w:pPr>
              <w:spacing w:line="320" w:lineRule="exact"/>
              <w:jc w:val="center"/>
              <w:textAlignment w:val="center"/>
              <w:rPr>
                <w:rFonts w:ascii="Times New Roman" w:hAnsi="Times New Roman" w:eastAsia="宋体"/>
                <w:color w:val="000000"/>
                <w:sz w:val="20"/>
                <w:szCs w:val="20"/>
              </w:rPr>
            </w:pPr>
            <w:r>
              <w:rPr>
                <w:rStyle w:val="23"/>
                <w:rFonts w:hint="default"/>
              </w:rPr>
              <w:t>全长</w:t>
            </w:r>
            <w:r>
              <w:rPr>
                <w:rStyle w:val="24"/>
                <w:rFonts w:eastAsia="宋体"/>
              </w:rPr>
              <w:t>14.7</w:t>
            </w:r>
            <w:r>
              <w:rPr>
                <w:rStyle w:val="23"/>
                <w:rFonts w:hint="default"/>
              </w:rPr>
              <w:t>公里，四级公路双车道沥青砼路面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CAE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8EB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34B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9DA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166C0DE9">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2A0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13</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F50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双路至莲花</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9DC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78A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16A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2E1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全长11公里，按三级公路宽度升级改造为沥青砼路面</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6CF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C17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DFF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B35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2427CA72">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DCF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14</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ECF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包鸾经飞仙洞到大竹林</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87A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26CD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DE2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103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全长9公里，按三级公路宽度标准新建</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F7F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9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1FA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FC0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170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54CD99C0">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990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15</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4C1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许明坪桥至忠县同德</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E37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BA0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6D7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885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全长6公里，扩宽后全面硬化</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917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BD3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EC6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4C0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003756AD">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F9A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16</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788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高速公路路口至龙孔镇</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982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B093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922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8EA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全长2公里，按三级公路宽度扩建</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192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279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0.04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A96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0.04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E4F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60C44962">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FE3E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17</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BB7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仁崇路（仁沙至兴龙镇）</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76B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806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D09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898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全长15公里，按三级公路宽度建设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7F2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C41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226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0.5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20B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004EE276">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5FED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18</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DCE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许董路（许明寺至董家）</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2D3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39B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9EC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2DF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全长19公里，按三级公路标准建设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4B8D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19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331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FD1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0.6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34D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0249F987">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EDB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19</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375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社坛至保合（高速路路口至保合段）</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46B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C33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601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3A7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全长6公里，按三级公路标准建设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417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6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C5C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CB6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B36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07FE9414">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12AD">
            <w:pPr>
              <w:spacing w:line="320" w:lineRule="exact"/>
              <w:jc w:val="center"/>
              <w:rPr>
                <w:rFonts w:ascii="Times New Roman" w:hAnsi="Times New Roman" w:eastAsia="宋体"/>
                <w:b/>
                <w:bCs/>
                <w:color w:val="000000"/>
                <w:sz w:val="20"/>
                <w:szCs w:val="20"/>
              </w:rPr>
            </w:pP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D586EB">
            <w:pPr>
              <w:spacing w:line="320" w:lineRule="exact"/>
              <w:jc w:val="left"/>
              <w:textAlignment w:val="center"/>
              <w:rPr>
                <w:rFonts w:ascii="Times New Roman" w:hAnsi="Times New Roman" w:eastAsia="宋体"/>
                <w:b/>
                <w:bCs/>
                <w:color w:val="000000"/>
                <w:sz w:val="20"/>
                <w:szCs w:val="20"/>
              </w:rPr>
            </w:pPr>
            <w:r>
              <w:rPr>
                <w:rStyle w:val="21"/>
                <w:rFonts w:hint="default"/>
              </w:rPr>
              <w:t>农村公路</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B174">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400.0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30D44">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2.4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FCDE">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2.4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325C">
            <w:pPr>
              <w:spacing w:line="320" w:lineRule="exact"/>
              <w:jc w:val="center"/>
              <w:rPr>
                <w:rFonts w:ascii="Times New Roman" w:hAnsi="Times New Roman" w:eastAsia="宋体"/>
                <w:b/>
                <w:bCs/>
                <w:color w:val="000000"/>
                <w:sz w:val="20"/>
                <w:szCs w:val="20"/>
              </w:rPr>
            </w:pPr>
          </w:p>
        </w:tc>
      </w:tr>
      <w:tr w14:paraId="0749AD5C">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D8C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030C">
            <w:pPr>
              <w:spacing w:line="320" w:lineRule="exact"/>
              <w:jc w:val="center"/>
              <w:textAlignment w:val="center"/>
              <w:rPr>
                <w:rFonts w:ascii="Times New Roman" w:hAnsi="Times New Roman" w:eastAsia="宋体"/>
                <w:color w:val="000000"/>
                <w:sz w:val="20"/>
                <w:szCs w:val="20"/>
              </w:rPr>
            </w:pPr>
            <w:r>
              <w:rPr>
                <w:rStyle w:val="23"/>
                <w:rFonts w:hint="default"/>
              </w:rPr>
              <w:t>农村公路</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9DC7D">
            <w:pPr>
              <w:spacing w:line="320" w:lineRule="exact"/>
              <w:jc w:val="center"/>
              <w:textAlignment w:val="center"/>
              <w:rPr>
                <w:rFonts w:ascii="Times New Roman" w:hAnsi="Times New Roman" w:eastAsia="宋体"/>
                <w:color w:val="000000"/>
                <w:sz w:val="20"/>
                <w:szCs w:val="20"/>
              </w:rPr>
            </w:pPr>
            <w:r>
              <w:rPr>
                <w:rStyle w:val="23"/>
                <w:rFonts w:hint="default"/>
              </w:rPr>
              <w:t>升级改造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159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2F1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0F3C">
            <w:pPr>
              <w:spacing w:line="320" w:lineRule="exact"/>
              <w:jc w:val="center"/>
              <w:textAlignment w:val="center"/>
              <w:rPr>
                <w:rFonts w:ascii="宋体" w:hAnsi="宋体" w:eastAsia="宋体" w:cs="宋体"/>
                <w:color w:val="000000"/>
                <w:sz w:val="20"/>
                <w:szCs w:val="20"/>
              </w:rPr>
            </w:pPr>
            <w:r>
              <w:rPr>
                <w:rStyle w:val="23"/>
                <w:rFonts w:hint="default"/>
              </w:rPr>
              <w:t>实施</w:t>
            </w:r>
            <w:r>
              <w:rPr>
                <w:rStyle w:val="24"/>
                <w:rFonts w:eastAsia="宋体"/>
              </w:rPr>
              <w:t>400</w:t>
            </w:r>
            <w:r>
              <w:rPr>
                <w:rStyle w:val="23"/>
                <w:rFonts w:hint="default"/>
              </w:rPr>
              <w:t>公里，分为通组路、窄路面加宽、油返砂、单车道改双车道等类型</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18D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400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FF0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2.4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B75F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2.4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DB4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45718F37">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382F">
            <w:pPr>
              <w:spacing w:line="320" w:lineRule="exact"/>
              <w:jc w:val="center"/>
              <w:rPr>
                <w:rFonts w:ascii="Times New Roman" w:hAnsi="Times New Roman" w:eastAsia="宋体"/>
                <w:color w:val="000000"/>
                <w:sz w:val="22"/>
              </w:rPr>
            </w:pP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2D609B">
            <w:pPr>
              <w:spacing w:line="320" w:lineRule="exact"/>
              <w:jc w:val="left"/>
              <w:textAlignment w:val="center"/>
              <w:rPr>
                <w:rFonts w:ascii="Times New Roman" w:hAnsi="Times New Roman" w:eastAsia="宋体"/>
                <w:b/>
                <w:bCs/>
                <w:color w:val="000000"/>
                <w:sz w:val="20"/>
                <w:szCs w:val="20"/>
              </w:rPr>
            </w:pPr>
            <w:r>
              <w:rPr>
                <w:rStyle w:val="21"/>
                <w:rFonts w:hint="default"/>
              </w:rPr>
              <w:t>安保设施</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DFCD">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750.0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A9FA">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2.0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CBE7">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2.0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9FFB">
            <w:pPr>
              <w:spacing w:line="320" w:lineRule="exact"/>
              <w:jc w:val="center"/>
              <w:rPr>
                <w:rFonts w:ascii="Times New Roman" w:hAnsi="Times New Roman" w:eastAsia="宋体"/>
                <w:b/>
                <w:bCs/>
                <w:color w:val="000000"/>
                <w:sz w:val="20"/>
                <w:szCs w:val="20"/>
              </w:rPr>
            </w:pPr>
          </w:p>
        </w:tc>
      </w:tr>
      <w:tr w14:paraId="4ADF30C4">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FECA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9BB8">
            <w:pPr>
              <w:spacing w:line="320" w:lineRule="exact"/>
              <w:jc w:val="center"/>
              <w:textAlignment w:val="center"/>
              <w:rPr>
                <w:rFonts w:ascii="Times New Roman" w:hAnsi="Times New Roman" w:eastAsia="宋体"/>
                <w:color w:val="000000"/>
                <w:sz w:val="20"/>
                <w:szCs w:val="20"/>
              </w:rPr>
            </w:pPr>
            <w:r>
              <w:rPr>
                <w:rStyle w:val="23"/>
                <w:rFonts w:hint="default"/>
              </w:rPr>
              <w:t>安防设施（公里）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129A">
            <w:pPr>
              <w:spacing w:line="320" w:lineRule="exact"/>
              <w:jc w:val="center"/>
              <w:textAlignment w:val="center"/>
              <w:rPr>
                <w:rFonts w:ascii="Times New Roman" w:hAnsi="Times New Roman" w:eastAsia="宋体"/>
                <w:color w:val="000000"/>
                <w:sz w:val="20"/>
                <w:szCs w:val="20"/>
              </w:rPr>
            </w:pPr>
            <w:r>
              <w:rPr>
                <w:rFonts w:hint="eastAsia" w:ascii="Times New Roman" w:hAnsi="Times New Roman" w:eastAsia="宋体"/>
                <w:color w:val="000000"/>
                <w:kern w:val="0"/>
                <w:sz w:val="20"/>
                <w:szCs w:val="20"/>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7E9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733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8A25">
            <w:pPr>
              <w:spacing w:line="320" w:lineRule="exact"/>
              <w:jc w:val="center"/>
              <w:textAlignment w:val="center"/>
              <w:rPr>
                <w:rFonts w:ascii="Times New Roman" w:hAnsi="Times New Roman" w:eastAsia="宋体"/>
                <w:color w:val="000000"/>
                <w:sz w:val="20"/>
                <w:szCs w:val="20"/>
              </w:rPr>
            </w:pPr>
            <w:r>
              <w:rPr>
                <w:rStyle w:val="23"/>
                <w:rFonts w:hint="default"/>
              </w:rPr>
              <w:t>实施</w:t>
            </w:r>
            <w:r>
              <w:rPr>
                <w:rStyle w:val="24"/>
                <w:rFonts w:eastAsia="宋体"/>
              </w:rPr>
              <w:t>750</w:t>
            </w:r>
            <w:r>
              <w:rPr>
                <w:rStyle w:val="23"/>
                <w:rFonts w:hint="default"/>
              </w:rPr>
              <w:t>公里</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7B78">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750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13D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1.7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B54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1.7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3A52">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5E90B7BF">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57F7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AF6F">
            <w:pPr>
              <w:spacing w:line="320" w:lineRule="exact"/>
              <w:jc w:val="center"/>
              <w:textAlignment w:val="center"/>
              <w:rPr>
                <w:rFonts w:ascii="Times New Roman" w:hAnsi="Times New Roman" w:eastAsia="宋体"/>
                <w:color w:val="000000"/>
                <w:sz w:val="20"/>
                <w:szCs w:val="20"/>
              </w:rPr>
            </w:pPr>
            <w:r>
              <w:rPr>
                <w:rStyle w:val="23"/>
                <w:rFonts w:hint="default"/>
              </w:rPr>
              <w:t>危桥改造（座）</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AD36">
            <w:pPr>
              <w:spacing w:line="320" w:lineRule="exact"/>
              <w:jc w:val="center"/>
              <w:textAlignment w:val="center"/>
              <w:rPr>
                <w:rFonts w:ascii="Times New Roman" w:hAnsi="Times New Roman" w:eastAsia="宋体"/>
                <w:color w:val="000000"/>
                <w:sz w:val="20"/>
                <w:szCs w:val="20"/>
              </w:rPr>
            </w:pPr>
            <w:r>
              <w:rPr>
                <w:rStyle w:val="23"/>
                <w:rFonts w:hint="default"/>
              </w:rPr>
              <w:t>加固改造</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0A7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E71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640A">
            <w:pPr>
              <w:spacing w:line="320" w:lineRule="exact"/>
              <w:jc w:val="center"/>
              <w:textAlignment w:val="center"/>
              <w:rPr>
                <w:rFonts w:ascii="宋体" w:hAnsi="宋体" w:eastAsia="宋体" w:cs="宋体"/>
                <w:color w:val="000000"/>
                <w:sz w:val="20"/>
                <w:szCs w:val="20"/>
              </w:rPr>
            </w:pPr>
            <w:r>
              <w:rPr>
                <w:rStyle w:val="23"/>
                <w:rFonts w:hint="default"/>
              </w:rPr>
              <w:t>完成</w:t>
            </w:r>
            <w:r>
              <w:rPr>
                <w:rStyle w:val="24"/>
                <w:rFonts w:eastAsia="宋体"/>
              </w:rPr>
              <w:t>20</w:t>
            </w:r>
            <w:r>
              <w:rPr>
                <w:rStyle w:val="23"/>
                <w:rFonts w:hint="default"/>
              </w:rPr>
              <w:t>座危桥加固提升</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9BBA">
            <w:pPr>
              <w:spacing w:line="32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7104">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902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1A9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1DD28EEE">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3920">
            <w:pPr>
              <w:spacing w:line="320" w:lineRule="exact"/>
              <w:jc w:val="center"/>
              <w:rPr>
                <w:rFonts w:ascii="Times New Roman" w:hAnsi="Times New Roman" w:eastAsia="宋体"/>
                <w:color w:val="000000"/>
                <w:sz w:val="22"/>
              </w:rPr>
            </w:pP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90CD48">
            <w:pPr>
              <w:spacing w:line="320" w:lineRule="exact"/>
              <w:jc w:val="left"/>
              <w:textAlignment w:val="center"/>
              <w:rPr>
                <w:rFonts w:ascii="Times New Roman" w:hAnsi="Times New Roman" w:eastAsia="宋体"/>
                <w:b/>
                <w:bCs/>
                <w:color w:val="000000"/>
                <w:sz w:val="20"/>
                <w:szCs w:val="20"/>
              </w:rPr>
            </w:pPr>
            <w:r>
              <w:rPr>
                <w:rStyle w:val="21"/>
                <w:rFonts w:hint="default"/>
              </w:rPr>
              <w:t>普通公路日常养护</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8053">
            <w:pPr>
              <w:spacing w:line="320" w:lineRule="exact"/>
              <w:jc w:val="center"/>
              <w:rPr>
                <w:rFonts w:ascii="Times New Roman" w:hAnsi="Times New Roman" w:eastAsia="宋体"/>
                <w:b/>
                <w:bCs/>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80B8">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0.4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B047">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0.4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D1B0">
            <w:pPr>
              <w:spacing w:line="320" w:lineRule="exact"/>
              <w:jc w:val="center"/>
              <w:rPr>
                <w:rFonts w:ascii="Times New Roman" w:hAnsi="Times New Roman" w:eastAsia="宋体"/>
                <w:b/>
                <w:bCs/>
                <w:color w:val="000000"/>
                <w:sz w:val="20"/>
                <w:szCs w:val="20"/>
              </w:rPr>
            </w:pPr>
          </w:p>
        </w:tc>
      </w:tr>
      <w:tr w14:paraId="4C25D9ED">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DAA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133E">
            <w:pPr>
              <w:spacing w:line="320" w:lineRule="exact"/>
              <w:jc w:val="center"/>
              <w:textAlignment w:val="center"/>
              <w:rPr>
                <w:rFonts w:ascii="Times New Roman" w:hAnsi="Times New Roman" w:eastAsia="宋体"/>
                <w:color w:val="000000"/>
                <w:sz w:val="20"/>
                <w:szCs w:val="20"/>
              </w:rPr>
            </w:pPr>
            <w:r>
              <w:rPr>
                <w:rStyle w:val="23"/>
                <w:rFonts w:hint="default"/>
              </w:rPr>
              <w:t>养护站房及服务区（座）</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A23D">
            <w:pPr>
              <w:spacing w:line="320" w:lineRule="exact"/>
              <w:jc w:val="center"/>
              <w:textAlignment w:val="center"/>
              <w:rPr>
                <w:rFonts w:ascii="Times New Roman" w:hAnsi="Times New Roman" w:eastAsia="宋体"/>
                <w:color w:val="000000"/>
                <w:sz w:val="20"/>
                <w:szCs w:val="20"/>
              </w:rPr>
            </w:pPr>
            <w:r>
              <w:rPr>
                <w:rFonts w:hint="eastAsia" w:ascii="Times New Roman" w:hAnsi="Times New Roman" w:eastAsia="宋体"/>
                <w:color w:val="000000"/>
                <w:kern w:val="0"/>
                <w:sz w:val="20"/>
                <w:szCs w:val="20"/>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4089">
            <w:pPr>
              <w:spacing w:line="320" w:lineRule="exact"/>
              <w:jc w:val="center"/>
              <w:rPr>
                <w:rFonts w:ascii="Times New Roman" w:hAnsi="Times New Roman" w:eastAsia="宋体"/>
                <w:color w:val="000000"/>
                <w:sz w:val="20"/>
                <w:szCs w:val="20"/>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DBE8">
            <w:pPr>
              <w:spacing w:line="320" w:lineRule="exact"/>
              <w:jc w:val="center"/>
              <w:rPr>
                <w:rFonts w:ascii="Times New Roman" w:hAnsi="Times New Roman" w:eastAsia="宋体"/>
                <w:color w:val="000000"/>
                <w:sz w:val="20"/>
                <w:szCs w:val="20"/>
              </w:rPr>
            </w:pP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33D5">
            <w:pPr>
              <w:spacing w:line="320" w:lineRule="exact"/>
              <w:jc w:val="center"/>
              <w:textAlignment w:val="center"/>
              <w:rPr>
                <w:rFonts w:ascii="Times New Roman" w:hAnsi="Times New Roman" w:eastAsia="宋体"/>
                <w:color w:val="000000"/>
                <w:sz w:val="20"/>
                <w:szCs w:val="20"/>
              </w:rPr>
            </w:pPr>
            <w:r>
              <w:rPr>
                <w:rStyle w:val="23"/>
                <w:rFonts w:hint="default"/>
              </w:rPr>
              <w:t>实施</w:t>
            </w:r>
            <w:r>
              <w:rPr>
                <w:rStyle w:val="24"/>
                <w:rFonts w:eastAsia="宋体"/>
              </w:rPr>
              <w:t>3</w:t>
            </w:r>
            <w:r>
              <w:rPr>
                <w:rStyle w:val="23"/>
                <w:rFonts w:hint="default"/>
              </w:rPr>
              <w:t>个养护站</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D9F4">
            <w:pPr>
              <w:spacing w:line="32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E85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74FB">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923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6DF5FB82">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CC51">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E785">
            <w:pPr>
              <w:spacing w:line="320" w:lineRule="exact"/>
              <w:jc w:val="center"/>
              <w:textAlignment w:val="center"/>
              <w:rPr>
                <w:rFonts w:ascii="Times New Roman" w:hAnsi="Times New Roman" w:eastAsia="宋体"/>
                <w:color w:val="000000"/>
                <w:sz w:val="20"/>
                <w:szCs w:val="20"/>
              </w:rPr>
            </w:pPr>
            <w:r>
              <w:rPr>
                <w:rStyle w:val="23"/>
                <w:rFonts w:hint="default"/>
              </w:rPr>
              <w:t>国省道预防性养护占比</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0B0E">
            <w:pPr>
              <w:spacing w:line="320" w:lineRule="exact"/>
              <w:jc w:val="center"/>
              <w:textAlignment w:val="center"/>
              <w:rPr>
                <w:rFonts w:ascii="Times New Roman" w:hAnsi="Times New Roman" w:eastAsia="宋体"/>
                <w:color w:val="000000"/>
                <w:sz w:val="20"/>
                <w:szCs w:val="20"/>
              </w:rPr>
            </w:pPr>
            <w:r>
              <w:rPr>
                <w:rFonts w:hint="eastAsia" w:ascii="Times New Roman" w:hAnsi="Times New Roman" w:eastAsia="宋体"/>
                <w:color w:val="000000"/>
                <w:kern w:val="0"/>
                <w:sz w:val="20"/>
                <w:szCs w:val="20"/>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4DFE">
            <w:pPr>
              <w:spacing w:line="320" w:lineRule="exact"/>
              <w:jc w:val="center"/>
              <w:rPr>
                <w:rFonts w:ascii="Times New Roman" w:hAnsi="Times New Roman" w:eastAsia="宋体"/>
                <w:color w:val="000000"/>
                <w:sz w:val="20"/>
                <w:szCs w:val="20"/>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BD78">
            <w:pPr>
              <w:spacing w:line="320" w:lineRule="exact"/>
              <w:jc w:val="center"/>
              <w:rPr>
                <w:rFonts w:ascii="Times New Roman" w:hAnsi="Times New Roman" w:eastAsia="宋体"/>
                <w:color w:val="000000"/>
                <w:sz w:val="20"/>
                <w:szCs w:val="20"/>
              </w:rPr>
            </w:pP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3A18">
            <w:pPr>
              <w:spacing w:line="320" w:lineRule="exact"/>
              <w:jc w:val="center"/>
              <w:textAlignment w:val="center"/>
              <w:rPr>
                <w:rFonts w:ascii="Times New Roman" w:hAnsi="Times New Roman" w:eastAsia="宋体"/>
                <w:color w:val="000000"/>
                <w:sz w:val="20"/>
                <w:szCs w:val="20"/>
              </w:rPr>
            </w:pPr>
            <w:r>
              <w:rPr>
                <w:rStyle w:val="23"/>
                <w:rFonts w:hint="default"/>
              </w:rPr>
              <w:t>实施预防性养护</w:t>
            </w:r>
            <w:r>
              <w:rPr>
                <w:rStyle w:val="24"/>
                <w:rFonts w:eastAsia="宋体"/>
              </w:rPr>
              <w:t>127</w:t>
            </w:r>
            <w:r>
              <w:rPr>
                <w:rStyle w:val="23"/>
                <w:rFonts w:hint="default"/>
              </w:rPr>
              <w:t>公里，实施比例为</w:t>
            </w:r>
            <w:r>
              <w:rPr>
                <w:rStyle w:val="24"/>
                <w:rFonts w:eastAsia="宋体"/>
              </w:rPr>
              <w:t>25%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F413">
            <w:pPr>
              <w:spacing w:line="32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694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F1F5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0.25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7A45F">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7BFDDA6D">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80F4">
            <w:pPr>
              <w:spacing w:line="320" w:lineRule="exact"/>
              <w:jc w:val="center"/>
              <w:rPr>
                <w:rFonts w:ascii="Times New Roman" w:hAnsi="Times New Roman" w:eastAsia="宋体"/>
                <w:color w:val="000000"/>
                <w:sz w:val="22"/>
              </w:rPr>
            </w:pP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56211B">
            <w:pPr>
              <w:spacing w:line="320" w:lineRule="exact"/>
              <w:jc w:val="left"/>
              <w:textAlignment w:val="center"/>
              <w:rPr>
                <w:rFonts w:ascii="Times New Roman" w:hAnsi="Times New Roman" w:eastAsia="宋体"/>
                <w:b/>
                <w:bCs/>
                <w:color w:val="000000"/>
                <w:sz w:val="20"/>
                <w:szCs w:val="20"/>
              </w:rPr>
            </w:pPr>
            <w:r>
              <w:rPr>
                <w:rStyle w:val="21"/>
                <w:rFonts w:hint="default"/>
              </w:rPr>
              <w:t>新建桥梁</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9119">
            <w:pPr>
              <w:spacing w:line="32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E708">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C465">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B075A">
            <w:pPr>
              <w:spacing w:line="320" w:lineRule="exact"/>
              <w:jc w:val="center"/>
              <w:rPr>
                <w:rFonts w:ascii="Times New Roman" w:hAnsi="Times New Roman" w:eastAsia="宋体"/>
                <w:b/>
                <w:bCs/>
                <w:color w:val="000000"/>
                <w:sz w:val="20"/>
                <w:szCs w:val="20"/>
              </w:rPr>
            </w:pPr>
          </w:p>
        </w:tc>
      </w:tr>
      <w:tr w14:paraId="3B9FB97E">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B27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7BF4">
            <w:pPr>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新建公路桥梁（座）</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85A4">
            <w:pPr>
              <w:spacing w:line="320" w:lineRule="exact"/>
              <w:jc w:val="center"/>
              <w:rPr>
                <w:rFonts w:ascii="Times New Roman" w:hAnsi="Times New Roman" w:eastAsia="宋体"/>
                <w:color w:val="000000"/>
                <w:sz w:val="20"/>
                <w:szCs w:val="20"/>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D0D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4206">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C37FE">
            <w:pPr>
              <w:spacing w:line="320" w:lineRule="exact"/>
              <w:jc w:val="center"/>
              <w:textAlignment w:val="center"/>
              <w:rPr>
                <w:rFonts w:ascii="宋体" w:hAnsi="宋体" w:eastAsia="宋体" w:cs="宋体"/>
                <w:color w:val="000000"/>
                <w:sz w:val="20"/>
                <w:szCs w:val="20"/>
              </w:rPr>
            </w:pPr>
            <w:r>
              <w:rPr>
                <w:rStyle w:val="25"/>
                <w:rFonts w:hint="default"/>
              </w:rPr>
              <w:t>完成</w:t>
            </w:r>
            <w:r>
              <w:rPr>
                <w:rStyle w:val="26"/>
                <w:rFonts w:eastAsia="宋体"/>
              </w:rPr>
              <w:t>6</w:t>
            </w:r>
            <w:r>
              <w:rPr>
                <w:rStyle w:val="25"/>
                <w:rFonts w:hint="default"/>
              </w:rPr>
              <w:t>座新建公路桥</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3082">
            <w:pPr>
              <w:spacing w:line="320" w:lineRule="exact"/>
              <w:jc w:val="center"/>
              <w:rPr>
                <w:rFonts w:ascii="Times New Roman" w:hAnsi="Times New Roman" w:eastAsia="宋体"/>
                <w:b/>
                <w:bCs/>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67E9">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45A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08CA">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38E37332">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BF9F">
            <w:pPr>
              <w:spacing w:line="320" w:lineRule="exact"/>
              <w:jc w:val="center"/>
              <w:textAlignment w:val="center"/>
              <w:rPr>
                <w:rFonts w:ascii="Times New Roman" w:hAnsi="Times New Roman" w:eastAsia="宋体"/>
                <w:b/>
                <w:bCs/>
                <w:color w:val="000000"/>
                <w:sz w:val="20"/>
                <w:szCs w:val="20"/>
              </w:rPr>
            </w:pPr>
            <w:r>
              <w:rPr>
                <w:rStyle w:val="21"/>
                <w:rFonts w:hint="default"/>
              </w:rPr>
              <w:t>三</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C15AD3">
            <w:pPr>
              <w:spacing w:line="320" w:lineRule="exact"/>
              <w:jc w:val="left"/>
              <w:textAlignment w:val="center"/>
              <w:rPr>
                <w:rFonts w:ascii="Times New Roman" w:hAnsi="Times New Roman" w:eastAsia="宋体"/>
                <w:b/>
                <w:bCs/>
                <w:color w:val="000000"/>
                <w:sz w:val="20"/>
                <w:szCs w:val="20"/>
              </w:rPr>
            </w:pPr>
            <w:r>
              <w:rPr>
                <w:rStyle w:val="21"/>
                <w:rFonts w:hint="default"/>
              </w:rPr>
              <w:t>水运项目（小计）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338B">
            <w:pPr>
              <w:spacing w:line="32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888E">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17.3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7DA1">
            <w:pPr>
              <w:spacing w:line="32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B145">
            <w:pPr>
              <w:spacing w:line="320" w:lineRule="exact"/>
              <w:rPr>
                <w:rFonts w:ascii="Times New Roman" w:hAnsi="Times New Roman" w:eastAsia="宋体"/>
                <w:b/>
                <w:bCs/>
                <w:color w:val="000000"/>
                <w:sz w:val="20"/>
                <w:szCs w:val="20"/>
              </w:rPr>
            </w:pPr>
          </w:p>
        </w:tc>
      </w:tr>
      <w:tr w14:paraId="3DBBEE92">
        <w:tblPrEx>
          <w:tblCellMar>
            <w:top w:w="0" w:type="dxa"/>
            <w:left w:w="108" w:type="dxa"/>
            <w:bottom w:w="0" w:type="dxa"/>
            <w:right w:w="108" w:type="dxa"/>
          </w:tblCellMar>
        </w:tblPrEx>
        <w:trPr>
          <w:trHeight w:val="249"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A855">
            <w:pPr>
              <w:spacing w:line="320" w:lineRule="exact"/>
              <w:jc w:val="center"/>
              <w:textAlignment w:val="center"/>
              <w:rPr>
                <w:rFonts w:ascii="Times New Roman" w:hAnsi="Times New Roman" w:eastAsia="宋体"/>
                <w:b/>
                <w:bCs/>
                <w:color w:val="000000"/>
                <w:sz w:val="20"/>
                <w:szCs w:val="20"/>
              </w:rPr>
            </w:pPr>
            <w:r>
              <w:rPr>
                <w:rStyle w:val="21"/>
                <w:rFonts w:hint="default"/>
              </w:rPr>
              <w:t>（一）</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23B23C">
            <w:pPr>
              <w:spacing w:line="320" w:lineRule="exact"/>
              <w:jc w:val="left"/>
              <w:textAlignment w:val="center"/>
              <w:rPr>
                <w:rFonts w:ascii="Times New Roman" w:hAnsi="Times New Roman" w:eastAsia="宋体"/>
                <w:b/>
                <w:bCs/>
                <w:color w:val="000000"/>
                <w:sz w:val="20"/>
                <w:szCs w:val="20"/>
              </w:rPr>
            </w:pPr>
            <w:r>
              <w:rPr>
                <w:rStyle w:val="21"/>
                <w:rFonts w:hint="default"/>
              </w:rPr>
              <w:t>港口项目</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5433">
            <w:pPr>
              <w:spacing w:line="32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9B43">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16.5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E5580">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9.5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3033">
            <w:pPr>
              <w:spacing w:line="320" w:lineRule="exact"/>
              <w:jc w:val="center"/>
              <w:rPr>
                <w:rFonts w:ascii="Times New Roman" w:hAnsi="Times New Roman" w:eastAsia="宋体"/>
                <w:b/>
                <w:bCs/>
                <w:color w:val="000000"/>
                <w:sz w:val="20"/>
                <w:szCs w:val="20"/>
              </w:rPr>
            </w:pPr>
          </w:p>
        </w:tc>
      </w:tr>
      <w:tr w14:paraId="589B56AA">
        <w:tblPrEx>
          <w:tblCellMar>
            <w:top w:w="0" w:type="dxa"/>
            <w:left w:w="108" w:type="dxa"/>
            <w:bottom w:w="0" w:type="dxa"/>
            <w:right w:w="108" w:type="dxa"/>
          </w:tblCellMar>
        </w:tblPrEx>
        <w:trPr>
          <w:trHeight w:val="1213"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F95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5F94">
            <w:pPr>
              <w:spacing w:line="3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丰都县水天坪作业区（一期提升及二期建设）</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44D9">
            <w:pPr>
              <w:spacing w:line="32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7985">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8907">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2027</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90DB">
            <w:pPr>
              <w:spacing w:line="320" w:lineRule="exact"/>
              <w:jc w:val="left"/>
              <w:textAlignment w:val="center"/>
              <w:rPr>
                <w:rFonts w:ascii="宋体" w:hAnsi="宋体" w:eastAsia="宋体" w:cs="宋体"/>
                <w:color w:val="000000"/>
                <w:sz w:val="20"/>
                <w:szCs w:val="20"/>
              </w:rPr>
            </w:pPr>
            <w:r>
              <w:rPr>
                <w:rStyle w:val="23"/>
                <w:rFonts w:hint="default"/>
              </w:rPr>
              <w:t>一期建设内容将现有斜坡码头改建为直立式码头，改建规模为3000吨级多用泊位1个，3000吨级杂货泊位1个。二期建设内容新建</w:t>
            </w:r>
            <w:r>
              <w:rPr>
                <w:rStyle w:val="24"/>
                <w:rFonts w:eastAsia="宋体"/>
              </w:rPr>
              <w:t>5000</w:t>
            </w:r>
            <w:r>
              <w:rPr>
                <w:rStyle w:val="23"/>
                <w:rFonts w:hint="default"/>
              </w:rPr>
              <w:t>吨级泊位</w:t>
            </w:r>
            <w:r>
              <w:rPr>
                <w:rStyle w:val="24"/>
                <w:rFonts w:eastAsia="宋体"/>
              </w:rPr>
              <w:t>3</w:t>
            </w:r>
            <w:r>
              <w:rPr>
                <w:rStyle w:val="23"/>
                <w:rFonts w:hint="default"/>
              </w:rPr>
              <w:t>个，设计通过能力</w:t>
            </w:r>
            <w:r>
              <w:rPr>
                <w:rStyle w:val="24"/>
                <w:rFonts w:eastAsia="宋体"/>
              </w:rPr>
              <w:t>5.7</w:t>
            </w:r>
            <w:r>
              <w:rPr>
                <w:rStyle w:val="23"/>
                <w:rFonts w:hint="default"/>
              </w:rPr>
              <w:t>万吨</w:t>
            </w:r>
            <w:r>
              <w:rPr>
                <w:rStyle w:val="24"/>
                <w:rFonts w:eastAsia="宋体"/>
              </w:rPr>
              <w:t>/TEU</w:t>
            </w:r>
            <w:r>
              <w:rPr>
                <w:rStyle w:val="23"/>
                <w:rFonts w:hint="default"/>
              </w:rPr>
              <w:t>，集装箱泊位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CF95">
            <w:pPr>
              <w:spacing w:line="32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39ED">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7.0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4ABC">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3.0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29AE">
            <w:pPr>
              <w:spacing w:line="32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182C9AFF">
        <w:tblPrEx>
          <w:tblCellMar>
            <w:top w:w="0" w:type="dxa"/>
            <w:left w:w="108" w:type="dxa"/>
            <w:bottom w:w="0" w:type="dxa"/>
            <w:right w:w="108" w:type="dxa"/>
          </w:tblCellMar>
        </w:tblPrEx>
        <w:trPr>
          <w:trHeight w:val="731"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3609">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3725">
            <w:pPr>
              <w:spacing w:line="280" w:lineRule="exact"/>
              <w:jc w:val="center"/>
              <w:textAlignment w:val="center"/>
              <w:rPr>
                <w:rFonts w:ascii="Times New Roman" w:hAnsi="Times New Roman" w:eastAsia="宋体"/>
                <w:color w:val="000000"/>
                <w:sz w:val="20"/>
                <w:szCs w:val="20"/>
              </w:rPr>
            </w:pPr>
            <w:r>
              <w:rPr>
                <w:rStyle w:val="23"/>
                <w:rFonts w:hint="default"/>
              </w:rPr>
              <w:t>丰都名山旅游码头工程（丰都游轮港区建设）</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1F0C">
            <w:pPr>
              <w:spacing w:line="280" w:lineRule="exact"/>
              <w:jc w:val="center"/>
              <w:textAlignment w:val="center"/>
              <w:rPr>
                <w:rFonts w:ascii="Times New Roman" w:hAnsi="Times New Roman" w:eastAsia="宋体"/>
                <w:color w:val="000000"/>
                <w:sz w:val="20"/>
                <w:szCs w:val="20"/>
              </w:rPr>
            </w:pPr>
            <w:r>
              <w:rPr>
                <w:rStyle w:val="23"/>
                <w:rFonts w:hint="default"/>
              </w:rPr>
              <w:t>改建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2242">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2F30">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2027</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F154">
            <w:pPr>
              <w:spacing w:line="280" w:lineRule="exact"/>
              <w:jc w:val="center"/>
              <w:textAlignment w:val="center"/>
              <w:rPr>
                <w:rFonts w:ascii="Times New Roman" w:hAnsi="Times New Roman" w:eastAsia="宋体"/>
                <w:color w:val="000000"/>
                <w:sz w:val="20"/>
                <w:szCs w:val="20"/>
              </w:rPr>
            </w:pPr>
            <w:r>
              <w:rPr>
                <w:rStyle w:val="23"/>
                <w:rFonts w:hint="default"/>
              </w:rPr>
              <w:t>新建</w:t>
            </w:r>
            <w:r>
              <w:rPr>
                <w:rStyle w:val="24"/>
                <w:rFonts w:eastAsia="宋体"/>
              </w:rPr>
              <w:t>8</w:t>
            </w:r>
            <w:r>
              <w:rPr>
                <w:rStyle w:val="23"/>
                <w:rFonts w:hint="default"/>
              </w:rPr>
              <w:t>个</w:t>
            </w:r>
            <w:r>
              <w:rPr>
                <w:rStyle w:val="24"/>
                <w:rFonts w:eastAsia="宋体"/>
              </w:rPr>
              <w:t>5000</w:t>
            </w:r>
            <w:r>
              <w:rPr>
                <w:rStyle w:val="23"/>
                <w:rFonts w:hint="default"/>
              </w:rPr>
              <w:t>吨级泊位，其中南岸</w:t>
            </w:r>
            <w:r>
              <w:rPr>
                <w:rStyle w:val="24"/>
                <w:rFonts w:eastAsia="宋体"/>
              </w:rPr>
              <w:t>3</w:t>
            </w:r>
            <w:r>
              <w:rPr>
                <w:rStyle w:val="23"/>
                <w:rFonts w:hint="default"/>
              </w:rPr>
              <w:t>个，北岸</w:t>
            </w:r>
            <w:r>
              <w:rPr>
                <w:rStyle w:val="24"/>
                <w:rFonts w:eastAsia="宋体"/>
              </w:rPr>
              <w:t>5</w:t>
            </w:r>
            <w:r>
              <w:rPr>
                <w:rStyle w:val="23"/>
                <w:rFonts w:hint="default"/>
              </w:rPr>
              <w:t>个，建设南北两岸船岸通道及附属设施（客运）</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AF55">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8CC1">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5.0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74814">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CF44">
            <w:pPr>
              <w:spacing w:line="280" w:lineRule="exact"/>
              <w:jc w:val="center"/>
              <w:textAlignment w:val="center"/>
              <w:rPr>
                <w:rFonts w:ascii="Times New Roman" w:hAnsi="Times New Roman" w:eastAsia="宋体"/>
                <w:color w:val="000000"/>
                <w:sz w:val="20"/>
                <w:szCs w:val="20"/>
              </w:rPr>
            </w:pPr>
            <w:r>
              <w:rPr>
                <w:rStyle w:val="23"/>
                <w:rFonts w:hint="default"/>
              </w:rPr>
              <w:t>市级规划项目</w:t>
            </w:r>
          </w:p>
        </w:tc>
      </w:tr>
      <w:tr w14:paraId="14CFE164">
        <w:tblPrEx>
          <w:tblCellMar>
            <w:top w:w="0" w:type="dxa"/>
            <w:left w:w="108" w:type="dxa"/>
            <w:bottom w:w="0" w:type="dxa"/>
            <w:right w:w="108" w:type="dxa"/>
          </w:tblCellMar>
        </w:tblPrEx>
        <w:trPr>
          <w:trHeight w:val="49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2E02">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3</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7B35">
            <w:pPr>
              <w:spacing w:line="280" w:lineRule="exact"/>
              <w:jc w:val="center"/>
              <w:textAlignment w:val="center"/>
              <w:rPr>
                <w:rFonts w:ascii="Times New Roman" w:hAnsi="Times New Roman" w:eastAsia="宋体"/>
                <w:color w:val="000000"/>
                <w:sz w:val="20"/>
                <w:szCs w:val="20"/>
              </w:rPr>
            </w:pPr>
            <w:r>
              <w:rPr>
                <w:rStyle w:val="23"/>
                <w:rFonts w:hint="default"/>
              </w:rPr>
              <w:t>东方希望作业区扩容改造</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6323">
            <w:pPr>
              <w:spacing w:line="280" w:lineRule="exact"/>
              <w:jc w:val="center"/>
              <w:textAlignment w:val="center"/>
              <w:rPr>
                <w:rFonts w:ascii="Times New Roman" w:hAnsi="Times New Roman" w:eastAsia="宋体"/>
                <w:color w:val="000000"/>
                <w:sz w:val="20"/>
                <w:szCs w:val="20"/>
              </w:rPr>
            </w:pPr>
            <w:r>
              <w:rPr>
                <w:rStyle w:val="23"/>
                <w:rFonts w:hint="default"/>
              </w:rPr>
              <w:t>改扩建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E43B">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7F55">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3D15">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新建2个5000吨级杂件泊位，1个5000吨级散货泊位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A21C">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B1B1">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4.0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CBDA">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4.0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3996">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24BF9872">
        <w:tblPrEx>
          <w:tblCellMar>
            <w:top w:w="0" w:type="dxa"/>
            <w:left w:w="108" w:type="dxa"/>
            <w:bottom w:w="0" w:type="dxa"/>
            <w:right w:w="108" w:type="dxa"/>
          </w:tblCellMar>
        </w:tblPrEx>
        <w:trPr>
          <w:trHeight w:val="46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FE3A">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4</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093D">
            <w:pPr>
              <w:spacing w:line="28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玉溪码头提升改造</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CA5E">
            <w:pPr>
              <w:spacing w:line="280" w:lineRule="exact"/>
              <w:jc w:val="center"/>
              <w:textAlignment w:val="center"/>
              <w:rPr>
                <w:rFonts w:ascii="Times New Roman" w:hAnsi="Times New Roman" w:eastAsia="宋体"/>
                <w:color w:val="000000"/>
                <w:sz w:val="20"/>
                <w:szCs w:val="20"/>
              </w:rPr>
            </w:pPr>
            <w:r>
              <w:rPr>
                <w:rStyle w:val="23"/>
                <w:rFonts w:hint="default"/>
              </w:rPr>
              <w:t>改扩建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AB37">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7C9B">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CD07">
            <w:pPr>
              <w:spacing w:line="280" w:lineRule="exact"/>
              <w:jc w:val="center"/>
              <w:textAlignment w:val="center"/>
              <w:rPr>
                <w:rFonts w:ascii="宋体" w:hAnsi="宋体" w:eastAsia="宋体" w:cs="宋体"/>
                <w:color w:val="000000"/>
                <w:sz w:val="20"/>
                <w:szCs w:val="20"/>
              </w:rPr>
            </w:pPr>
            <w:r>
              <w:rPr>
                <w:rStyle w:val="23"/>
                <w:rFonts w:hint="default"/>
              </w:rPr>
              <w:t>对原码头进行提升，提升后全年码头的运进和运出总量达</w:t>
            </w:r>
            <w:r>
              <w:rPr>
                <w:rStyle w:val="24"/>
                <w:rFonts w:eastAsia="宋体"/>
              </w:rPr>
              <w:t>1500</w:t>
            </w:r>
            <w:r>
              <w:rPr>
                <w:rStyle w:val="24"/>
                <w:rFonts w:hint="eastAsia" w:eastAsia="宋体"/>
              </w:rPr>
              <w:t>-</w:t>
            </w:r>
            <w:r>
              <w:rPr>
                <w:rStyle w:val="24"/>
                <w:rFonts w:eastAsia="宋体"/>
              </w:rPr>
              <w:t>1700</w:t>
            </w:r>
            <w:r>
              <w:rPr>
                <w:rStyle w:val="23"/>
                <w:rFonts w:hint="default"/>
              </w:rPr>
              <w:t>万吨。</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730D">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E7EE">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0.5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F2AF">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0.5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5D46">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5FEE9625">
        <w:tblPrEx>
          <w:tblCellMar>
            <w:top w:w="0" w:type="dxa"/>
            <w:left w:w="108" w:type="dxa"/>
            <w:bottom w:w="0" w:type="dxa"/>
            <w:right w:w="108" w:type="dxa"/>
          </w:tblCellMar>
        </w:tblPrEx>
        <w:trPr>
          <w:trHeight w:val="234"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BF3D">
            <w:pPr>
              <w:spacing w:line="280" w:lineRule="exact"/>
              <w:jc w:val="center"/>
              <w:textAlignment w:val="center"/>
              <w:rPr>
                <w:rFonts w:ascii="Times New Roman" w:hAnsi="Times New Roman" w:eastAsia="宋体"/>
                <w:b/>
                <w:bCs/>
                <w:color w:val="000000"/>
                <w:sz w:val="20"/>
                <w:szCs w:val="20"/>
              </w:rPr>
            </w:pPr>
            <w:r>
              <w:rPr>
                <w:rStyle w:val="21"/>
                <w:rFonts w:hint="default"/>
              </w:rPr>
              <w:t>（二）</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4535CD">
            <w:pPr>
              <w:spacing w:line="280" w:lineRule="exact"/>
              <w:jc w:val="left"/>
              <w:textAlignment w:val="center"/>
              <w:rPr>
                <w:rFonts w:ascii="Times New Roman" w:hAnsi="Times New Roman" w:eastAsia="宋体"/>
                <w:b/>
                <w:bCs/>
                <w:color w:val="000000"/>
                <w:sz w:val="20"/>
                <w:szCs w:val="20"/>
              </w:rPr>
            </w:pPr>
            <w:r>
              <w:rPr>
                <w:rStyle w:val="21"/>
                <w:rFonts w:hint="default"/>
              </w:rPr>
              <w:t>航道整治项目</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8E40">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B74F">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D4C6">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0.8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EF9B">
            <w:pPr>
              <w:spacing w:line="280" w:lineRule="exact"/>
              <w:jc w:val="center"/>
              <w:rPr>
                <w:rFonts w:ascii="Times New Roman" w:hAnsi="Times New Roman" w:eastAsia="宋体"/>
                <w:b/>
                <w:bCs/>
                <w:color w:val="000000"/>
                <w:sz w:val="20"/>
                <w:szCs w:val="20"/>
              </w:rPr>
            </w:pPr>
          </w:p>
        </w:tc>
      </w:tr>
      <w:tr w14:paraId="42639B17">
        <w:tblPrEx>
          <w:tblCellMar>
            <w:top w:w="0" w:type="dxa"/>
            <w:left w:w="108" w:type="dxa"/>
            <w:bottom w:w="0" w:type="dxa"/>
            <w:right w:w="108" w:type="dxa"/>
          </w:tblCellMar>
        </w:tblPrEx>
        <w:trPr>
          <w:trHeight w:val="234"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239D">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7C49">
            <w:pPr>
              <w:spacing w:line="280" w:lineRule="exact"/>
              <w:jc w:val="center"/>
              <w:textAlignment w:val="center"/>
              <w:rPr>
                <w:rFonts w:ascii="Times New Roman" w:hAnsi="Times New Roman" w:eastAsia="宋体"/>
                <w:color w:val="000000"/>
                <w:sz w:val="20"/>
                <w:szCs w:val="20"/>
              </w:rPr>
            </w:pPr>
            <w:r>
              <w:rPr>
                <w:rStyle w:val="23"/>
                <w:rFonts w:hint="default"/>
              </w:rPr>
              <w:t>龙河河口至雪玉洞航道整治工程</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7058">
            <w:pPr>
              <w:spacing w:line="28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96FB">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2024</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7DFE">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2360">
            <w:pPr>
              <w:spacing w:line="280" w:lineRule="exact"/>
              <w:jc w:val="center"/>
              <w:textAlignment w:val="center"/>
              <w:rPr>
                <w:rFonts w:ascii="Times New Roman" w:hAnsi="Times New Roman" w:eastAsia="宋体"/>
                <w:color w:val="000000"/>
                <w:sz w:val="20"/>
                <w:szCs w:val="20"/>
              </w:rPr>
            </w:pPr>
            <w:r>
              <w:rPr>
                <w:rStyle w:val="23"/>
                <w:rFonts w:hint="default"/>
              </w:rPr>
              <w:t>航道治理，里程</w:t>
            </w:r>
            <w:r>
              <w:rPr>
                <w:rStyle w:val="24"/>
                <w:rFonts w:eastAsia="宋体"/>
              </w:rPr>
              <w:t>18</w:t>
            </w:r>
            <w:r>
              <w:rPr>
                <w:rStyle w:val="23"/>
                <w:rFonts w:hint="default"/>
              </w:rPr>
              <w:t>公里</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6EC1">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88FE">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5F51">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0.8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5293">
            <w:pPr>
              <w:spacing w:line="280" w:lineRule="exact"/>
              <w:jc w:val="center"/>
              <w:textAlignment w:val="center"/>
              <w:rPr>
                <w:rFonts w:ascii="Times New Roman" w:hAnsi="Times New Roman" w:eastAsia="宋体"/>
                <w:color w:val="000000"/>
                <w:sz w:val="20"/>
                <w:szCs w:val="20"/>
              </w:rPr>
            </w:pPr>
            <w:r>
              <w:rPr>
                <w:rStyle w:val="23"/>
                <w:rFonts w:hint="default"/>
              </w:rPr>
              <w:t>市级规划项目</w:t>
            </w:r>
          </w:p>
        </w:tc>
      </w:tr>
      <w:tr w14:paraId="6275248A">
        <w:tblPrEx>
          <w:tblCellMar>
            <w:top w:w="0" w:type="dxa"/>
            <w:left w:w="108" w:type="dxa"/>
            <w:bottom w:w="0" w:type="dxa"/>
            <w:right w:w="108" w:type="dxa"/>
          </w:tblCellMar>
        </w:tblPrEx>
        <w:trPr>
          <w:trHeight w:val="234"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E79A">
            <w:pPr>
              <w:spacing w:line="280" w:lineRule="exact"/>
              <w:jc w:val="center"/>
              <w:textAlignment w:val="center"/>
              <w:rPr>
                <w:rFonts w:ascii="Times New Roman" w:hAnsi="Times New Roman" w:eastAsia="宋体"/>
                <w:b/>
                <w:bCs/>
                <w:color w:val="000000"/>
                <w:sz w:val="20"/>
                <w:szCs w:val="20"/>
              </w:rPr>
            </w:pPr>
            <w:r>
              <w:rPr>
                <w:rStyle w:val="21"/>
                <w:rFonts w:hint="default"/>
              </w:rPr>
              <w:t>四</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631CAA">
            <w:pPr>
              <w:spacing w:line="280" w:lineRule="exact"/>
              <w:jc w:val="left"/>
              <w:textAlignment w:val="center"/>
              <w:rPr>
                <w:rFonts w:ascii="Times New Roman" w:hAnsi="Times New Roman" w:eastAsia="宋体"/>
                <w:b/>
                <w:bCs/>
                <w:color w:val="000000"/>
                <w:sz w:val="20"/>
                <w:szCs w:val="20"/>
              </w:rPr>
            </w:pPr>
            <w:r>
              <w:rPr>
                <w:rStyle w:val="21"/>
                <w:rFonts w:hint="default"/>
              </w:rPr>
              <w:t>航空（小计）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79F5">
            <w:pPr>
              <w:spacing w:line="280" w:lineRule="exact"/>
              <w:jc w:val="center"/>
              <w:rPr>
                <w:rFonts w:ascii="Times New Roman" w:hAnsi="Times New Roman" w:eastAsia="宋体"/>
                <w:b/>
                <w:bCs/>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BCDA">
            <w:pPr>
              <w:spacing w:line="28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5.0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02B2">
            <w:pPr>
              <w:spacing w:line="28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1.0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30CD">
            <w:pPr>
              <w:spacing w:line="280" w:lineRule="exact"/>
              <w:jc w:val="center"/>
              <w:rPr>
                <w:rFonts w:ascii="Times New Roman" w:hAnsi="Times New Roman" w:eastAsia="宋体"/>
                <w:b/>
                <w:bCs/>
                <w:color w:val="000000"/>
                <w:sz w:val="20"/>
                <w:szCs w:val="20"/>
              </w:rPr>
            </w:pPr>
          </w:p>
        </w:tc>
      </w:tr>
      <w:tr w14:paraId="4E9DB77A">
        <w:tblPrEx>
          <w:tblCellMar>
            <w:top w:w="0" w:type="dxa"/>
            <w:left w:w="108" w:type="dxa"/>
            <w:bottom w:w="0" w:type="dxa"/>
            <w:right w:w="108" w:type="dxa"/>
          </w:tblCellMar>
        </w:tblPrEx>
        <w:trPr>
          <w:trHeight w:val="686"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0729">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72DD">
            <w:pPr>
              <w:spacing w:line="280" w:lineRule="exact"/>
              <w:jc w:val="center"/>
              <w:textAlignment w:val="center"/>
              <w:rPr>
                <w:rFonts w:ascii="Times New Roman" w:hAnsi="Times New Roman" w:eastAsia="宋体"/>
                <w:color w:val="000000"/>
                <w:sz w:val="20"/>
                <w:szCs w:val="20"/>
              </w:rPr>
            </w:pPr>
            <w:r>
              <w:rPr>
                <w:rStyle w:val="23"/>
                <w:rFonts w:hint="default"/>
              </w:rPr>
              <w:t>丰都县虎威仁和通用机场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0BD9">
            <w:pPr>
              <w:spacing w:line="28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E595">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CD0D">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2028</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4649">
            <w:pPr>
              <w:spacing w:line="280" w:lineRule="exact"/>
              <w:jc w:val="center"/>
              <w:textAlignment w:val="center"/>
              <w:rPr>
                <w:rFonts w:ascii="Times New Roman" w:hAnsi="Times New Roman" w:eastAsia="宋体"/>
                <w:color w:val="000000"/>
                <w:sz w:val="20"/>
                <w:szCs w:val="20"/>
              </w:rPr>
            </w:pPr>
            <w:r>
              <w:rPr>
                <w:rStyle w:val="23"/>
                <w:rFonts w:hint="default"/>
              </w:rPr>
              <w:t>一类通用机场，占地约</w:t>
            </w:r>
            <w:r>
              <w:rPr>
                <w:rStyle w:val="24"/>
                <w:rFonts w:eastAsia="宋体"/>
              </w:rPr>
              <w:t>1500</w:t>
            </w:r>
            <w:r>
              <w:rPr>
                <w:rStyle w:val="23"/>
                <w:rFonts w:hint="default"/>
              </w:rPr>
              <w:t>亩，含跑道、机库、候机楼、行政办公区、油库、停车场、宿舍楼等</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168E">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1E71">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5.0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E743">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0515">
            <w:pPr>
              <w:spacing w:line="280" w:lineRule="exact"/>
              <w:jc w:val="center"/>
              <w:textAlignment w:val="center"/>
              <w:rPr>
                <w:rFonts w:ascii="Times New Roman" w:hAnsi="Times New Roman" w:eastAsia="宋体"/>
                <w:color w:val="000000"/>
                <w:sz w:val="20"/>
                <w:szCs w:val="20"/>
              </w:rPr>
            </w:pPr>
            <w:r>
              <w:rPr>
                <w:rStyle w:val="23"/>
                <w:rFonts w:hint="default"/>
              </w:rPr>
              <w:t>市级研究项目</w:t>
            </w:r>
          </w:p>
        </w:tc>
      </w:tr>
      <w:tr w14:paraId="7100F34A">
        <w:tblPrEx>
          <w:tblCellMar>
            <w:top w:w="0" w:type="dxa"/>
            <w:left w:w="108" w:type="dxa"/>
            <w:bottom w:w="0" w:type="dxa"/>
            <w:right w:w="108" w:type="dxa"/>
          </w:tblCellMar>
        </w:tblPrEx>
        <w:trPr>
          <w:trHeight w:val="234"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8CD8">
            <w:pPr>
              <w:spacing w:line="280" w:lineRule="exact"/>
              <w:jc w:val="center"/>
              <w:textAlignment w:val="center"/>
              <w:rPr>
                <w:rFonts w:ascii="Times New Roman" w:hAnsi="Times New Roman" w:eastAsia="宋体"/>
                <w:b/>
                <w:bCs/>
                <w:color w:val="000000"/>
                <w:sz w:val="20"/>
                <w:szCs w:val="20"/>
              </w:rPr>
            </w:pPr>
            <w:r>
              <w:rPr>
                <w:rStyle w:val="21"/>
                <w:rFonts w:hint="default"/>
              </w:rPr>
              <w:t>五</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B8EC8B">
            <w:pPr>
              <w:spacing w:line="280" w:lineRule="exact"/>
              <w:jc w:val="left"/>
              <w:textAlignment w:val="center"/>
              <w:rPr>
                <w:rFonts w:ascii="Times New Roman" w:hAnsi="Times New Roman" w:eastAsia="宋体"/>
                <w:b/>
                <w:bCs/>
                <w:color w:val="000000"/>
                <w:sz w:val="20"/>
                <w:szCs w:val="20"/>
              </w:rPr>
            </w:pPr>
            <w:r>
              <w:rPr>
                <w:rStyle w:val="21"/>
                <w:rFonts w:hint="default"/>
              </w:rPr>
              <w:t>运输站场（小计）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0091">
            <w:pPr>
              <w:spacing w:line="280" w:lineRule="exact"/>
              <w:jc w:val="center"/>
              <w:rPr>
                <w:rFonts w:ascii="Times New Roman" w:hAnsi="Times New Roman" w:eastAsia="宋体"/>
                <w:b/>
                <w:bCs/>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E231">
            <w:pPr>
              <w:spacing w:line="28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3.1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2C26">
            <w:pPr>
              <w:spacing w:line="28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2.8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01C2">
            <w:pPr>
              <w:spacing w:line="280" w:lineRule="exact"/>
              <w:jc w:val="center"/>
              <w:rPr>
                <w:rFonts w:ascii="Times New Roman" w:hAnsi="Times New Roman" w:eastAsia="宋体"/>
                <w:b/>
                <w:bCs/>
                <w:color w:val="000000"/>
                <w:sz w:val="20"/>
                <w:szCs w:val="20"/>
              </w:rPr>
            </w:pPr>
          </w:p>
        </w:tc>
      </w:tr>
      <w:tr w14:paraId="70141509">
        <w:tblPrEx>
          <w:tblCellMar>
            <w:top w:w="0" w:type="dxa"/>
            <w:left w:w="108" w:type="dxa"/>
            <w:bottom w:w="0" w:type="dxa"/>
            <w:right w:w="108" w:type="dxa"/>
          </w:tblCellMar>
        </w:tblPrEx>
        <w:trPr>
          <w:trHeight w:val="234"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FFFD">
            <w:pPr>
              <w:spacing w:line="280" w:lineRule="exact"/>
              <w:jc w:val="center"/>
              <w:textAlignment w:val="center"/>
              <w:rPr>
                <w:rFonts w:ascii="Times New Roman" w:hAnsi="Times New Roman" w:eastAsia="宋体"/>
                <w:b/>
                <w:bCs/>
                <w:color w:val="000000"/>
                <w:sz w:val="20"/>
                <w:szCs w:val="20"/>
              </w:rPr>
            </w:pPr>
            <w:r>
              <w:rPr>
                <w:rStyle w:val="21"/>
                <w:rFonts w:hint="default"/>
              </w:rPr>
              <w:t>（一）</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AB88">
            <w:pPr>
              <w:spacing w:line="280" w:lineRule="exact"/>
              <w:jc w:val="left"/>
              <w:textAlignment w:val="center"/>
              <w:rPr>
                <w:rFonts w:ascii="Times New Roman" w:hAnsi="Times New Roman" w:eastAsia="宋体"/>
                <w:b/>
                <w:bCs/>
                <w:color w:val="000000"/>
                <w:sz w:val="20"/>
                <w:szCs w:val="20"/>
              </w:rPr>
            </w:pPr>
            <w:r>
              <w:rPr>
                <w:rStyle w:val="21"/>
                <w:rFonts w:hint="default"/>
              </w:rPr>
              <w:t>客运枢纽</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B500">
            <w:pPr>
              <w:spacing w:line="280" w:lineRule="exact"/>
              <w:jc w:val="center"/>
              <w:rPr>
                <w:rFonts w:ascii="Times New Roman" w:hAnsi="Times New Roman" w:eastAsia="宋体"/>
                <w:b/>
                <w:bCs/>
                <w:color w:val="000000"/>
                <w:sz w:val="20"/>
                <w:szCs w:val="20"/>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F23D">
            <w:pPr>
              <w:spacing w:line="280" w:lineRule="exact"/>
              <w:jc w:val="center"/>
              <w:rPr>
                <w:rFonts w:ascii="Times New Roman" w:hAnsi="Times New Roman" w:eastAsia="宋体"/>
                <w:b/>
                <w:bCs/>
                <w:color w:val="000000"/>
                <w:sz w:val="20"/>
                <w:szCs w:val="20"/>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F6E7">
            <w:pPr>
              <w:spacing w:line="280" w:lineRule="exact"/>
              <w:jc w:val="center"/>
              <w:rPr>
                <w:rFonts w:ascii="Times New Roman" w:hAnsi="Times New Roman" w:eastAsia="宋体"/>
                <w:b/>
                <w:bCs/>
                <w:color w:val="000000"/>
                <w:sz w:val="20"/>
                <w:szCs w:val="20"/>
              </w:rPr>
            </w:pP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727F">
            <w:pPr>
              <w:spacing w:line="280" w:lineRule="exact"/>
              <w:jc w:val="center"/>
              <w:rPr>
                <w:rFonts w:ascii="Times New Roman" w:hAnsi="Times New Roman" w:eastAsia="宋体"/>
                <w:b/>
                <w:bCs/>
                <w:color w:val="000000"/>
                <w:sz w:val="20"/>
                <w:szCs w:val="20"/>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89C2">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1EF7">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3.0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CC0D">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2.7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2A63">
            <w:pPr>
              <w:spacing w:line="280" w:lineRule="exact"/>
              <w:jc w:val="center"/>
              <w:rPr>
                <w:rFonts w:ascii="Times New Roman" w:hAnsi="Times New Roman" w:eastAsia="宋体"/>
                <w:b/>
                <w:bCs/>
                <w:color w:val="000000"/>
                <w:sz w:val="20"/>
                <w:szCs w:val="20"/>
              </w:rPr>
            </w:pPr>
          </w:p>
        </w:tc>
      </w:tr>
      <w:tr w14:paraId="20A99394">
        <w:tblPrEx>
          <w:tblCellMar>
            <w:top w:w="0" w:type="dxa"/>
            <w:left w:w="108" w:type="dxa"/>
            <w:bottom w:w="0" w:type="dxa"/>
            <w:right w:w="108" w:type="dxa"/>
          </w:tblCellMar>
        </w:tblPrEx>
        <w:trPr>
          <w:trHeight w:val="234"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D344">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7163">
            <w:pPr>
              <w:spacing w:line="280" w:lineRule="exact"/>
              <w:jc w:val="center"/>
              <w:textAlignment w:val="center"/>
              <w:rPr>
                <w:rFonts w:ascii="Times New Roman" w:hAnsi="Times New Roman" w:eastAsia="宋体"/>
                <w:color w:val="000000"/>
                <w:sz w:val="20"/>
                <w:szCs w:val="20"/>
              </w:rPr>
            </w:pPr>
            <w:r>
              <w:rPr>
                <w:rStyle w:val="23"/>
                <w:rFonts w:hint="default"/>
              </w:rPr>
              <w:t>丰都县南岸综合客运中心</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34DB">
            <w:pPr>
              <w:spacing w:line="28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7B48">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A786">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4DBB">
            <w:pPr>
              <w:spacing w:line="280" w:lineRule="exact"/>
              <w:jc w:val="center"/>
              <w:textAlignment w:val="center"/>
              <w:rPr>
                <w:rFonts w:ascii="Times New Roman" w:hAnsi="Times New Roman" w:eastAsia="宋体"/>
                <w:color w:val="000000"/>
                <w:sz w:val="20"/>
                <w:szCs w:val="20"/>
              </w:rPr>
            </w:pPr>
            <w:r>
              <w:rPr>
                <w:rStyle w:val="23"/>
                <w:rFonts w:hint="default"/>
              </w:rPr>
              <w:t>按一级站标准，建设站房及相关配套设施</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040D">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E536">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1.0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7D05">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1.0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4A0A">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3BDDE39A">
        <w:tblPrEx>
          <w:tblCellMar>
            <w:top w:w="0" w:type="dxa"/>
            <w:left w:w="108" w:type="dxa"/>
            <w:bottom w:w="0" w:type="dxa"/>
            <w:right w:w="108" w:type="dxa"/>
          </w:tblCellMar>
        </w:tblPrEx>
        <w:trPr>
          <w:trHeight w:val="234"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DC41">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5772">
            <w:pPr>
              <w:spacing w:line="280" w:lineRule="exact"/>
              <w:jc w:val="center"/>
              <w:textAlignment w:val="center"/>
              <w:rPr>
                <w:rFonts w:ascii="Times New Roman" w:hAnsi="Times New Roman" w:eastAsia="宋体"/>
                <w:color w:val="000000"/>
                <w:sz w:val="20"/>
                <w:szCs w:val="20"/>
              </w:rPr>
            </w:pPr>
            <w:r>
              <w:rPr>
                <w:rStyle w:val="23"/>
                <w:rFonts w:hint="default"/>
              </w:rPr>
              <w:t>丰都县北岸综合客运枢纽</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754F">
            <w:pPr>
              <w:spacing w:line="28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944E">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0E46">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2027</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078E">
            <w:pPr>
              <w:spacing w:line="280" w:lineRule="exact"/>
              <w:jc w:val="center"/>
              <w:textAlignment w:val="center"/>
              <w:rPr>
                <w:rFonts w:ascii="Times New Roman" w:hAnsi="Times New Roman" w:eastAsia="宋体"/>
                <w:color w:val="000000"/>
                <w:sz w:val="20"/>
                <w:szCs w:val="20"/>
              </w:rPr>
            </w:pPr>
            <w:r>
              <w:rPr>
                <w:rStyle w:val="23"/>
                <w:rFonts w:hint="default"/>
              </w:rPr>
              <w:t>按一级站标准，建设站房及相关配套设施</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E80B">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095D">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0.8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DB1D">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0.5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62BD">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44CB3600">
        <w:tblPrEx>
          <w:tblCellMar>
            <w:top w:w="0" w:type="dxa"/>
            <w:left w:w="108" w:type="dxa"/>
            <w:bottom w:w="0" w:type="dxa"/>
            <w:right w:w="108" w:type="dxa"/>
          </w:tblCellMar>
        </w:tblPrEx>
        <w:trPr>
          <w:trHeight w:val="46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6225">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3</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237A">
            <w:pPr>
              <w:spacing w:line="280" w:lineRule="exact"/>
              <w:jc w:val="center"/>
              <w:textAlignment w:val="center"/>
              <w:rPr>
                <w:rFonts w:ascii="Times New Roman" w:hAnsi="Times New Roman" w:eastAsia="宋体"/>
                <w:color w:val="000000"/>
                <w:sz w:val="20"/>
                <w:szCs w:val="20"/>
              </w:rPr>
            </w:pPr>
            <w:r>
              <w:rPr>
                <w:rStyle w:val="23"/>
                <w:rFonts w:hint="default"/>
              </w:rPr>
              <w:t>丰都县客运码头基础设施改造工程（丰都游轮港区建设）配套设施</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1E91">
            <w:pPr>
              <w:spacing w:line="28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138D">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1708">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2023</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D922">
            <w:pPr>
              <w:spacing w:line="280" w:lineRule="exact"/>
              <w:jc w:val="center"/>
              <w:textAlignment w:val="center"/>
              <w:rPr>
                <w:rFonts w:ascii="Times New Roman" w:hAnsi="Times New Roman" w:eastAsia="宋体"/>
                <w:color w:val="000000"/>
                <w:sz w:val="20"/>
                <w:szCs w:val="20"/>
              </w:rPr>
            </w:pPr>
            <w:r>
              <w:rPr>
                <w:rStyle w:val="23"/>
                <w:rFonts w:hint="default"/>
              </w:rPr>
              <w:t>南岸水上游客中心</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C02F">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A1A0B">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1.2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06A1">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1.2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5653">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65B20495">
        <w:tblPrEx>
          <w:tblCellMar>
            <w:top w:w="0" w:type="dxa"/>
            <w:left w:w="108" w:type="dxa"/>
            <w:bottom w:w="0" w:type="dxa"/>
            <w:right w:w="108" w:type="dxa"/>
          </w:tblCellMar>
        </w:tblPrEx>
        <w:trPr>
          <w:trHeight w:val="234"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3C56">
            <w:pPr>
              <w:spacing w:line="280" w:lineRule="exact"/>
              <w:jc w:val="center"/>
              <w:textAlignment w:val="center"/>
              <w:rPr>
                <w:rFonts w:ascii="Times New Roman" w:hAnsi="Times New Roman" w:eastAsia="宋体"/>
                <w:b/>
                <w:bCs/>
                <w:color w:val="000000"/>
                <w:sz w:val="20"/>
                <w:szCs w:val="20"/>
              </w:rPr>
            </w:pPr>
            <w:r>
              <w:rPr>
                <w:rStyle w:val="21"/>
                <w:rFonts w:hint="default"/>
              </w:rPr>
              <w:t>（二）</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C051">
            <w:pPr>
              <w:spacing w:line="280" w:lineRule="exact"/>
              <w:jc w:val="left"/>
              <w:textAlignment w:val="center"/>
              <w:rPr>
                <w:rFonts w:ascii="Times New Roman" w:hAnsi="Times New Roman" w:eastAsia="宋体"/>
                <w:b/>
                <w:bCs/>
                <w:color w:val="000000"/>
                <w:sz w:val="20"/>
                <w:szCs w:val="20"/>
              </w:rPr>
            </w:pPr>
            <w:r>
              <w:rPr>
                <w:rStyle w:val="21"/>
                <w:rFonts w:hint="default"/>
              </w:rPr>
              <w:t>公交站场</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B372">
            <w:pPr>
              <w:spacing w:line="280" w:lineRule="exact"/>
              <w:jc w:val="center"/>
              <w:rPr>
                <w:rFonts w:ascii="Times New Roman" w:hAnsi="Times New Roman" w:eastAsia="宋体"/>
                <w:b/>
                <w:bCs/>
                <w:color w:val="000000"/>
                <w:sz w:val="20"/>
                <w:szCs w:val="20"/>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5F35">
            <w:pPr>
              <w:spacing w:line="280" w:lineRule="exact"/>
              <w:jc w:val="center"/>
              <w:rPr>
                <w:rFonts w:ascii="Times New Roman" w:hAnsi="Times New Roman" w:eastAsia="宋体"/>
                <w:b/>
                <w:bCs/>
                <w:color w:val="000000"/>
                <w:sz w:val="20"/>
                <w:szCs w:val="20"/>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9573">
            <w:pPr>
              <w:spacing w:line="280" w:lineRule="exact"/>
              <w:jc w:val="center"/>
              <w:rPr>
                <w:rFonts w:ascii="Times New Roman" w:hAnsi="Times New Roman" w:eastAsia="宋体"/>
                <w:b/>
                <w:bCs/>
                <w:color w:val="000000"/>
                <w:sz w:val="20"/>
                <w:szCs w:val="20"/>
              </w:rPr>
            </w:pP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21B1">
            <w:pPr>
              <w:spacing w:line="280" w:lineRule="exact"/>
              <w:jc w:val="center"/>
              <w:rPr>
                <w:rFonts w:ascii="Times New Roman" w:hAnsi="Times New Roman" w:eastAsia="宋体"/>
                <w:b/>
                <w:bCs/>
                <w:color w:val="000000"/>
                <w:sz w:val="20"/>
                <w:szCs w:val="20"/>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5C92">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82A4">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8778">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7149">
            <w:pPr>
              <w:spacing w:line="280" w:lineRule="exact"/>
              <w:jc w:val="center"/>
              <w:rPr>
                <w:rFonts w:ascii="Times New Roman" w:hAnsi="Times New Roman" w:eastAsia="宋体"/>
                <w:color w:val="000000"/>
                <w:sz w:val="20"/>
                <w:szCs w:val="20"/>
              </w:rPr>
            </w:pPr>
          </w:p>
        </w:tc>
      </w:tr>
      <w:tr w14:paraId="105A6F06">
        <w:tblPrEx>
          <w:tblCellMar>
            <w:top w:w="0" w:type="dxa"/>
            <w:left w:w="108" w:type="dxa"/>
            <w:bottom w:w="0" w:type="dxa"/>
            <w:right w:w="108" w:type="dxa"/>
          </w:tblCellMar>
        </w:tblPrEx>
        <w:trPr>
          <w:trHeight w:val="460"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A954">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06C5">
            <w:pPr>
              <w:spacing w:line="280" w:lineRule="exact"/>
              <w:jc w:val="center"/>
              <w:textAlignment w:val="center"/>
              <w:rPr>
                <w:rFonts w:ascii="Times New Roman" w:hAnsi="Times New Roman" w:eastAsia="宋体"/>
                <w:color w:val="000000"/>
                <w:sz w:val="20"/>
                <w:szCs w:val="20"/>
              </w:rPr>
            </w:pPr>
            <w:r>
              <w:rPr>
                <w:rStyle w:val="23"/>
                <w:rFonts w:hint="default"/>
              </w:rPr>
              <w:t>丰都公交站台建设</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3957">
            <w:pPr>
              <w:spacing w:line="280" w:lineRule="exact"/>
              <w:jc w:val="center"/>
              <w:textAlignment w:val="center"/>
              <w:rPr>
                <w:rFonts w:ascii="Times New Roman" w:hAnsi="Times New Roman" w:eastAsia="宋体"/>
                <w:color w:val="000000"/>
                <w:sz w:val="20"/>
                <w:szCs w:val="20"/>
              </w:rPr>
            </w:pPr>
            <w:r>
              <w:rPr>
                <w:rStyle w:val="23"/>
                <w:rFonts w:hint="default"/>
              </w:rPr>
              <w:t>改扩建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8A89">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A8D7">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94CF">
            <w:pPr>
              <w:spacing w:line="28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按港湾式、普通站台、简易站台等方式建设</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B77E">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6F11">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73BD">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0.1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FA71">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r w14:paraId="259B1FC5">
        <w:tblPrEx>
          <w:tblCellMar>
            <w:top w:w="0" w:type="dxa"/>
            <w:left w:w="108" w:type="dxa"/>
            <w:bottom w:w="0" w:type="dxa"/>
            <w:right w:w="108" w:type="dxa"/>
          </w:tblCellMar>
        </w:tblPrEx>
        <w:trPr>
          <w:trHeight w:val="234"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BC73">
            <w:pPr>
              <w:spacing w:line="280" w:lineRule="exact"/>
              <w:jc w:val="center"/>
              <w:textAlignment w:val="center"/>
              <w:rPr>
                <w:rFonts w:ascii="Times New Roman" w:hAnsi="Times New Roman" w:eastAsia="宋体"/>
                <w:b/>
                <w:bCs/>
                <w:color w:val="000000"/>
                <w:sz w:val="20"/>
                <w:szCs w:val="20"/>
              </w:rPr>
            </w:pPr>
            <w:r>
              <w:rPr>
                <w:rStyle w:val="21"/>
                <w:rFonts w:hint="default"/>
              </w:rPr>
              <w:t>六</w:t>
            </w:r>
          </w:p>
        </w:tc>
        <w:tc>
          <w:tcPr>
            <w:tcW w:w="96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5747A8">
            <w:pPr>
              <w:spacing w:line="280" w:lineRule="exact"/>
              <w:jc w:val="left"/>
              <w:textAlignment w:val="center"/>
              <w:rPr>
                <w:rFonts w:ascii="Times New Roman" w:hAnsi="Times New Roman" w:eastAsia="宋体"/>
                <w:b/>
                <w:bCs/>
                <w:color w:val="000000"/>
                <w:sz w:val="20"/>
                <w:szCs w:val="20"/>
              </w:rPr>
            </w:pPr>
            <w:r>
              <w:rPr>
                <w:rStyle w:val="21"/>
                <w:rFonts w:hint="default"/>
              </w:rPr>
              <w:t>智慧交通系统（小计）</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E709">
            <w:pPr>
              <w:spacing w:line="280" w:lineRule="exact"/>
              <w:jc w:val="center"/>
              <w:rPr>
                <w:rFonts w:ascii="Times New Roman" w:hAnsi="Times New Roman" w:eastAsia="宋体"/>
                <w:b/>
                <w:bCs/>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CE45">
            <w:pPr>
              <w:spacing w:line="28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EEDA">
            <w:pPr>
              <w:spacing w:line="280" w:lineRule="exact"/>
              <w:jc w:val="center"/>
              <w:textAlignment w:val="center"/>
              <w:rPr>
                <w:rFonts w:ascii="Times New Roman" w:hAnsi="Times New Roman" w:eastAsia="宋体"/>
                <w:b/>
                <w:bCs/>
                <w:color w:val="000000"/>
                <w:sz w:val="20"/>
                <w:szCs w:val="20"/>
              </w:rPr>
            </w:pPr>
            <w:r>
              <w:rPr>
                <w:rFonts w:ascii="Times New Roman" w:hAnsi="Times New Roman" w:eastAsia="宋体"/>
                <w:b/>
                <w:bCs/>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F0C5">
            <w:pPr>
              <w:spacing w:line="280" w:lineRule="exact"/>
              <w:jc w:val="center"/>
              <w:rPr>
                <w:rFonts w:ascii="Times New Roman" w:hAnsi="Times New Roman" w:eastAsia="宋体"/>
                <w:b/>
                <w:bCs/>
                <w:color w:val="000000"/>
                <w:sz w:val="20"/>
                <w:szCs w:val="20"/>
              </w:rPr>
            </w:pPr>
          </w:p>
        </w:tc>
      </w:tr>
      <w:tr w14:paraId="721E593C">
        <w:tblPrEx>
          <w:tblCellMar>
            <w:top w:w="0" w:type="dxa"/>
            <w:left w:w="108" w:type="dxa"/>
            <w:bottom w:w="0" w:type="dxa"/>
            <w:right w:w="108" w:type="dxa"/>
          </w:tblCellMar>
        </w:tblPrEx>
        <w:trPr>
          <w:trHeight w:val="467" w:hRule="atLeast"/>
          <w:jc w:val="center"/>
        </w:trPr>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E8CE">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431F">
            <w:pPr>
              <w:spacing w:line="280" w:lineRule="exact"/>
              <w:jc w:val="center"/>
              <w:textAlignment w:val="center"/>
              <w:rPr>
                <w:rFonts w:ascii="Times New Roman" w:hAnsi="Times New Roman" w:eastAsia="宋体"/>
                <w:color w:val="000000"/>
                <w:sz w:val="20"/>
                <w:szCs w:val="20"/>
              </w:rPr>
            </w:pPr>
            <w:r>
              <w:rPr>
                <w:rStyle w:val="23"/>
                <w:rFonts w:hint="default"/>
              </w:rPr>
              <w:t>智慧交通（一期工程）</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0E51">
            <w:pPr>
              <w:spacing w:line="280" w:lineRule="exact"/>
              <w:jc w:val="center"/>
              <w:textAlignment w:val="center"/>
              <w:rPr>
                <w:rFonts w:ascii="Times New Roman" w:hAnsi="Times New Roman" w:eastAsia="宋体"/>
                <w:color w:val="000000"/>
                <w:sz w:val="20"/>
                <w:szCs w:val="20"/>
              </w:rPr>
            </w:pPr>
            <w:r>
              <w:rPr>
                <w:rStyle w:val="23"/>
                <w:rFonts w:hint="default"/>
              </w:rPr>
              <w:t>新建</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ADE9">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D254">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2025</w:t>
            </w:r>
          </w:p>
        </w:tc>
        <w:tc>
          <w:tcPr>
            <w:tcW w:w="3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F893">
            <w:pPr>
              <w:spacing w:line="280" w:lineRule="exact"/>
              <w:jc w:val="center"/>
              <w:textAlignment w:val="center"/>
              <w:rPr>
                <w:rFonts w:ascii="Times New Roman" w:hAnsi="Times New Roman" w:eastAsia="宋体"/>
                <w:color w:val="000000"/>
                <w:sz w:val="20"/>
                <w:szCs w:val="20"/>
              </w:rPr>
            </w:pPr>
            <w:r>
              <w:rPr>
                <w:rStyle w:val="23"/>
                <w:rFonts w:hint="default"/>
              </w:rPr>
              <w:t>建立智慧交通系统，将超限超载监控、交通应急等功能纳入</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6F1AC">
            <w:pPr>
              <w:spacing w:line="280" w:lineRule="exact"/>
              <w:jc w:val="center"/>
              <w:rPr>
                <w:rFonts w:ascii="Times New Roman" w:hAnsi="Times New Roman" w:eastAsia="宋体"/>
                <w:color w:val="000000"/>
                <w:sz w:val="20"/>
                <w:szCs w:val="20"/>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B75E">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6075">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 xml:space="preserve">0.3 </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F3C2">
            <w:pPr>
              <w:spacing w:line="280" w:lineRule="exact"/>
              <w:jc w:val="center"/>
              <w:textAlignment w:val="center"/>
              <w:rPr>
                <w:rFonts w:ascii="Times New Roman" w:hAnsi="Times New Roman" w:eastAsia="宋体"/>
                <w:color w:val="000000"/>
                <w:sz w:val="20"/>
                <w:szCs w:val="20"/>
              </w:rPr>
            </w:pPr>
            <w:r>
              <w:rPr>
                <w:rFonts w:ascii="Times New Roman" w:hAnsi="Times New Roman" w:eastAsia="宋体"/>
                <w:color w:val="000000"/>
                <w:kern w:val="0"/>
                <w:sz w:val="20"/>
                <w:szCs w:val="20"/>
              </w:rPr>
              <w:t>县级规划项目</w:t>
            </w:r>
          </w:p>
        </w:tc>
      </w:tr>
    </w:tbl>
    <w:p w14:paraId="64923865">
      <w:pPr>
        <w:pStyle w:val="2"/>
        <w:ind w:firstLine="0"/>
        <w:rPr>
          <w:rFonts w:ascii="方正黑体_GBK" w:hAnsi="方正黑体_GBK" w:eastAsia="方正黑体_GBK" w:cs="方正黑体_GBK"/>
        </w:rPr>
      </w:pPr>
    </w:p>
    <w:p w14:paraId="0B80A13D">
      <w:pPr>
        <w:pStyle w:val="2"/>
        <w:ind w:firstLine="0"/>
        <w:rPr>
          <w:rFonts w:ascii="方正黑体_GBK" w:hAnsi="方正黑体_GBK" w:eastAsia="方正黑体_GBK" w:cs="方正黑体_GBK"/>
        </w:rPr>
      </w:pPr>
      <w:r>
        <w:drawing>
          <wp:anchor distT="0" distB="0" distL="114300" distR="114300" simplePos="0" relativeHeight="251660288" behindDoc="1" locked="0" layoutInCell="1" allowOverlap="1">
            <wp:simplePos x="0" y="0"/>
            <wp:positionH relativeFrom="column">
              <wp:posOffset>111125</wp:posOffset>
            </wp:positionH>
            <wp:positionV relativeFrom="paragraph">
              <wp:posOffset>469265</wp:posOffset>
            </wp:positionV>
            <wp:extent cx="7970520" cy="4562475"/>
            <wp:effectExtent l="0" t="0" r="0" b="9525"/>
            <wp:wrapNone/>
            <wp:docPr id="4" name="图片 4" descr="附图一：丰都综合交通运输发展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一：丰都综合交通运输发展现状图"/>
                    <pic:cNvPicPr>
                      <a:picLocks noChangeAspect="1"/>
                    </pic:cNvPicPr>
                  </pic:nvPicPr>
                  <pic:blipFill>
                    <a:blip r:embed="rId24"/>
                    <a:stretch>
                      <a:fillRect/>
                    </a:stretch>
                  </pic:blipFill>
                  <pic:spPr>
                    <a:xfrm>
                      <a:off x="0" y="0"/>
                      <a:ext cx="7970520" cy="4562475"/>
                    </a:xfrm>
                    <a:prstGeom prst="rect">
                      <a:avLst/>
                    </a:prstGeom>
                  </pic:spPr>
                </pic:pic>
              </a:graphicData>
            </a:graphic>
          </wp:anchor>
        </w:drawing>
      </w:r>
      <w:r>
        <w:rPr>
          <w:rFonts w:hint="eastAsia" w:ascii="方正黑体_GBK" w:hAnsi="方正黑体_GBK" w:eastAsia="方正黑体_GBK" w:cs="方正黑体_GBK"/>
        </w:rPr>
        <w:t xml:space="preserve">附件2                              </w:t>
      </w:r>
      <w:r>
        <w:rPr>
          <w:rFonts w:hint="eastAsia" w:ascii="方正小标宋_GBK" w:hAnsi="方正小标宋_GBK" w:eastAsia="方正小标宋_GBK" w:cs="方正小标宋_GBK"/>
          <w:sz w:val="44"/>
          <w:szCs w:val="32"/>
        </w:rPr>
        <w:t>附  图</w:t>
      </w:r>
    </w:p>
    <w:p w14:paraId="3B9D05C2">
      <w:pPr>
        <w:pStyle w:val="2"/>
        <w:ind w:firstLine="0"/>
      </w:pPr>
    </w:p>
    <w:p w14:paraId="6366F3ED">
      <w:pPr>
        <w:pStyle w:val="2"/>
        <w:ind w:firstLine="0"/>
      </w:pPr>
    </w:p>
    <w:p w14:paraId="37348FA8"/>
    <w:p w14:paraId="7F7DDA1F">
      <w:pPr>
        <w:pStyle w:val="2"/>
      </w:pPr>
    </w:p>
    <w:p w14:paraId="0FFE91E0"/>
    <w:p w14:paraId="3CE9B1B3">
      <w:pPr>
        <w:pStyle w:val="2"/>
      </w:pPr>
    </w:p>
    <w:p w14:paraId="5F1E3554"/>
    <w:p w14:paraId="7D5C83E4">
      <w:pPr>
        <w:pStyle w:val="2"/>
      </w:pPr>
    </w:p>
    <w:p w14:paraId="4AACE9AB"/>
    <w:p w14:paraId="35684555">
      <w:r>
        <w:drawing>
          <wp:inline distT="0" distB="0" distL="114300" distR="114300">
            <wp:extent cx="8792845" cy="5173980"/>
            <wp:effectExtent l="0" t="0" r="635" b="7620"/>
            <wp:docPr id="5" name="图片 5" descr="附图二：丰都县“十四”综合交通五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图二：丰都县“十四”综合交通五规划图"/>
                    <pic:cNvPicPr>
                      <a:picLocks noChangeAspect="1"/>
                    </pic:cNvPicPr>
                  </pic:nvPicPr>
                  <pic:blipFill>
                    <a:blip r:embed="rId25"/>
                    <a:stretch>
                      <a:fillRect/>
                    </a:stretch>
                  </pic:blipFill>
                  <pic:spPr>
                    <a:xfrm>
                      <a:off x="0" y="0"/>
                      <a:ext cx="8792845" cy="5173980"/>
                    </a:xfrm>
                    <a:prstGeom prst="rect">
                      <a:avLst/>
                    </a:prstGeom>
                  </pic:spPr>
                </pic:pic>
              </a:graphicData>
            </a:graphic>
          </wp:inline>
        </w:drawing>
      </w:r>
    </w:p>
    <w:p w14:paraId="38909577">
      <w:pPr>
        <w:pStyle w:val="2"/>
        <w:ind w:firstLine="0"/>
      </w:pPr>
      <w:r>
        <w:drawing>
          <wp:inline distT="0" distB="0" distL="114300" distR="114300">
            <wp:extent cx="8792210" cy="5257800"/>
            <wp:effectExtent l="0" t="0" r="1270" b="0"/>
            <wp:docPr id="8" name="图片 8" descr="附图三：丰都县“十四五”高速公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图三：丰都县“十四五”高速公路规划图"/>
                    <pic:cNvPicPr>
                      <a:picLocks noChangeAspect="1"/>
                    </pic:cNvPicPr>
                  </pic:nvPicPr>
                  <pic:blipFill>
                    <a:blip r:embed="rId26"/>
                    <a:stretch>
                      <a:fillRect/>
                    </a:stretch>
                  </pic:blipFill>
                  <pic:spPr>
                    <a:xfrm>
                      <a:off x="0" y="0"/>
                      <a:ext cx="8792210" cy="5257800"/>
                    </a:xfrm>
                    <a:prstGeom prst="rect">
                      <a:avLst/>
                    </a:prstGeom>
                  </pic:spPr>
                </pic:pic>
              </a:graphicData>
            </a:graphic>
          </wp:inline>
        </w:drawing>
      </w:r>
    </w:p>
    <w:p w14:paraId="0CFBFAD9">
      <w:r>
        <w:drawing>
          <wp:inline distT="0" distB="0" distL="114300" distR="114300">
            <wp:extent cx="8747125" cy="5175250"/>
            <wp:effectExtent l="0" t="0" r="635" b="6350"/>
            <wp:docPr id="9" name="图片 9" descr="附图四：丰都县“十四五”铁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图四：丰都县“十四五”铁路规划图"/>
                    <pic:cNvPicPr>
                      <a:picLocks noChangeAspect="1"/>
                    </pic:cNvPicPr>
                  </pic:nvPicPr>
                  <pic:blipFill>
                    <a:blip r:embed="rId27"/>
                    <a:stretch>
                      <a:fillRect/>
                    </a:stretch>
                  </pic:blipFill>
                  <pic:spPr>
                    <a:xfrm>
                      <a:off x="0" y="0"/>
                      <a:ext cx="8747125" cy="5175250"/>
                    </a:xfrm>
                    <a:prstGeom prst="rect">
                      <a:avLst/>
                    </a:prstGeom>
                  </pic:spPr>
                </pic:pic>
              </a:graphicData>
            </a:graphic>
          </wp:inline>
        </w:drawing>
      </w:r>
    </w:p>
    <w:p w14:paraId="6B0806D6">
      <w:pPr>
        <w:pStyle w:val="2"/>
        <w:ind w:firstLine="0"/>
        <w:sectPr>
          <w:footerReference r:id="rId16" w:type="default"/>
          <w:footerReference r:id="rId17" w:type="even"/>
          <w:pgSz w:w="16838" w:h="11906" w:orient="landscape"/>
          <w:pgMar w:top="1531" w:right="2098" w:bottom="1531" w:left="1984" w:header="851" w:footer="992" w:gutter="0"/>
          <w:pgNumType w:start="62"/>
          <w:cols w:space="0" w:num="1"/>
          <w:docGrid w:type="lines" w:linePitch="442" w:charSpace="0"/>
        </w:sectPr>
      </w:pPr>
      <w:r>
        <w:drawing>
          <wp:inline distT="0" distB="0" distL="114300" distR="114300">
            <wp:extent cx="8776970" cy="5107940"/>
            <wp:effectExtent l="0" t="0" r="1270" b="12700"/>
            <wp:docPr id="10" name="图片 10" descr="附图五：丰都县“十四五”国省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图五：丰都县“十四五”国省道规划图"/>
                    <pic:cNvPicPr>
                      <a:picLocks noChangeAspect="1"/>
                    </pic:cNvPicPr>
                  </pic:nvPicPr>
                  <pic:blipFill>
                    <a:blip r:embed="rId28"/>
                    <a:stretch>
                      <a:fillRect/>
                    </a:stretch>
                  </pic:blipFill>
                  <pic:spPr>
                    <a:xfrm>
                      <a:off x="0" y="0"/>
                      <a:ext cx="8776970" cy="5107940"/>
                    </a:xfrm>
                    <a:prstGeom prst="rect">
                      <a:avLst/>
                    </a:prstGeom>
                  </pic:spPr>
                </pic:pic>
              </a:graphicData>
            </a:graphic>
          </wp:inline>
        </w:drawing>
      </w:r>
    </w:p>
    <w:p w14:paraId="5D63536E"/>
    <w:p w14:paraId="20259F4F"/>
    <w:p w14:paraId="31CC91D1">
      <w:pPr>
        <w:pStyle w:val="2"/>
      </w:pPr>
    </w:p>
    <w:p w14:paraId="5E1AD1C5"/>
    <w:p w14:paraId="7CEF3EE3">
      <w:pPr>
        <w:pStyle w:val="2"/>
      </w:pPr>
    </w:p>
    <w:p w14:paraId="6F307CAB"/>
    <w:p w14:paraId="26503A6A">
      <w:pPr>
        <w:pStyle w:val="2"/>
      </w:pPr>
    </w:p>
    <w:p w14:paraId="1D1BFE45"/>
    <w:p w14:paraId="182E598F">
      <w:pPr>
        <w:pStyle w:val="2"/>
      </w:pPr>
    </w:p>
    <w:p w14:paraId="4BE61DA8"/>
    <w:p w14:paraId="7F0C1F38">
      <w:pPr>
        <w:pStyle w:val="2"/>
      </w:pPr>
    </w:p>
    <w:p w14:paraId="3BE25BD4"/>
    <w:p w14:paraId="620DA3FB">
      <w:pPr>
        <w:pStyle w:val="2"/>
      </w:pPr>
    </w:p>
    <w:p w14:paraId="535203F2"/>
    <w:p w14:paraId="2CB07055">
      <w:pPr>
        <w:pStyle w:val="2"/>
      </w:pPr>
    </w:p>
    <w:p w14:paraId="6F26D98B"/>
    <w:p w14:paraId="5FC54ACA">
      <w:pPr>
        <w:pStyle w:val="2"/>
      </w:pPr>
    </w:p>
    <w:p w14:paraId="5CC3E0D0"/>
    <w:p w14:paraId="617F0ED7">
      <w:pPr>
        <w:pStyle w:val="2"/>
      </w:pPr>
    </w:p>
    <w:p w14:paraId="1242F70F"/>
    <w:p w14:paraId="2B49A118">
      <w:pPr>
        <w:pStyle w:val="2"/>
      </w:pPr>
    </w:p>
    <w:p w14:paraId="4D6E69F8"/>
    <w:p w14:paraId="2208EF27">
      <w:pPr>
        <w:pStyle w:val="2"/>
      </w:pPr>
    </w:p>
    <w:p w14:paraId="52D83A57"/>
    <w:p w14:paraId="7544ED8A">
      <w:pPr>
        <w:pStyle w:val="2"/>
      </w:pPr>
    </w:p>
    <w:p w14:paraId="429A8BE2"/>
    <w:p w14:paraId="07BD201F">
      <w:pPr>
        <w:pStyle w:val="2"/>
      </w:pPr>
    </w:p>
    <w:p w14:paraId="45289176">
      <w:pPr>
        <w:pStyle w:val="2"/>
        <w:spacing w:line="240" w:lineRule="exact"/>
        <w:ind w:firstLine="0"/>
      </w:pPr>
    </w:p>
    <w:p w14:paraId="0A09D1E0">
      <w:pPr>
        <w:pBdr>
          <w:top w:val="single" w:color="auto" w:sz="4" w:space="1"/>
          <w:left w:val="none" w:color="auto" w:sz="0" w:space="4"/>
          <w:bottom w:val="single" w:color="auto" w:sz="4" w:space="1"/>
          <w:right w:val="none" w:color="auto" w:sz="0" w:space="4"/>
        </w:pBdr>
        <w:spacing w:line="480" w:lineRule="exact"/>
        <w:ind w:firstLine="280" w:firstLineChars="100"/>
      </w:pPr>
      <w:bookmarkStart w:id="116" w:name="_Toc14791_WPSOffice_Level1"/>
      <w:bookmarkStart w:id="117" w:name="_Toc22904_WPSOffice_Level1"/>
      <w:bookmarkStart w:id="118" w:name="_Toc2409_WPSOffice_Level1"/>
      <w:bookmarkStart w:id="119" w:name="_Toc9300_WPSOffice_Level1"/>
      <w:bookmarkStart w:id="120" w:name="_Toc10657_WPSOffice_Level1"/>
      <w:bookmarkStart w:id="121" w:name="_Toc25645_WPSOffice_Level1"/>
      <w:r>
        <w:rPr>
          <w:rFonts w:ascii="Times New Roman" w:hAnsi="Times New Roman"/>
          <w:color w:val="000000"/>
          <w:sz w:val="28"/>
          <w:szCs w:val="28"/>
        </w:rPr>
        <w:t>丰都县人民政府办公室           2022年</w:t>
      </w:r>
      <w:r>
        <w:rPr>
          <w:rFonts w:hint="eastAsia" w:ascii="Times New Roman" w:hAnsi="Times New Roman"/>
          <w:color w:val="000000"/>
          <w:sz w:val="28"/>
          <w:szCs w:val="28"/>
        </w:rPr>
        <w:t>9</w:t>
      </w:r>
      <w:r>
        <w:rPr>
          <w:rFonts w:ascii="Times New Roman" w:hAnsi="Times New Roman"/>
          <w:color w:val="000000"/>
          <w:sz w:val="28"/>
          <w:szCs w:val="28"/>
        </w:rPr>
        <w:t>月</w:t>
      </w:r>
      <w:r>
        <w:rPr>
          <w:rFonts w:hint="eastAsia" w:ascii="Times New Roman" w:hAnsi="Times New Roman"/>
          <w:color w:val="000000"/>
          <w:sz w:val="28"/>
          <w:szCs w:val="28"/>
        </w:rPr>
        <w:t>23</w:t>
      </w:r>
      <w:r>
        <w:rPr>
          <w:rFonts w:ascii="Times New Roman" w:hAnsi="Times New Roman"/>
          <w:color w:val="000000"/>
          <w:sz w:val="28"/>
          <w:szCs w:val="28"/>
        </w:rPr>
        <w:t>日印发</w:t>
      </w:r>
      <w:bookmarkEnd w:id="116"/>
      <w:bookmarkEnd w:id="117"/>
      <w:bookmarkEnd w:id="118"/>
      <w:bookmarkEnd w:id="119"/>
      <w:bookmarkEnd w:id="120"/>
      <w:bookmarkEnd w:id="121"/>
    </w:p>
    <w:sectPr>
      <w:footerReference r:id="rId18" w:type="default"/>
      <w:footerReference r:id="rId19" w:type="even"/>
      <w:pgSz w:w="11906" w:h="16838"/>
      <w:pgMar w:top="2098" w:right="1531" w:bottom="1984" w:left="1531" w:header="851" w:footer="992" w:gutter="0"/>
      <w:pgNumType w:start="72"/>
      <w:cols w:space="0" w:num="1"/>
      <w:docGrid w:type="lines" w:linePitch="4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14B6D">
    <w:pPr>
      <w:pStyle w:val="8"/>
      <w:wordWrap w:val="0"/>
      <w:jc w:val="both"/>
    </w:pPr>
    <w:r>
      <w:pict>
        <v:shape id="_x0000_s2058" o:spid="_x0000_s2058"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path/>
          <v:fill on="f" focussize="0,0"/>
          <v:stroke on="f" weight="0.5pt" joinstyle="miter"/>
          <v:imagedata o:title=""/>
          <o:lock v:ext="edit"/>
          <v:textbox inset="0mm,0mm,0mm,0mm" style="mso-fit-shape-to-text:t;">
            <w:txbxContent>
              <w:p w14:paraId="3AC5014D">
                <w:pPr>
                  <w:pStyle w:val="8"/>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CF5F">
    <w:pPr>
      <w:pStyle w:val="8"/>
      <w:spacing w:after="48"/>
    </w:pPr>
    <w:r>
      <w:pict>
        <v:shape id="_x0000_s2053" o:spid="_x0000_s2053"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path/>
          <v:fill on="f" focussize="0,0"/>
          <v:stroke on="f" weight="0.5pt" joinstyle="miter"/>
          <v:imagedata o:title=""/>
          <o:lock v:ext="edit"/>
          <v:textbox inset="0mm,0mm,0mm,0mm" style="mso-fit-shape-to-text:t;">
            <w:txbxContent>
              <w:p w14:paraId="526B0420">
                <w:pPr>
                  <w:pStyle w:val="8"/>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62</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77248">
    <w:pPr>
      <w:pStyle w:val="8"/>
      <w:spacing w:after="48"/>
      <w:jc w:val="both"/>
    </w:pPr>
    <w:r>
      <w:pict>
        <v:shape id="_x0000_s2052" o:spid="_x0000_s2052"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path/>
          <v:fill on="f" focussize="0,0"/>
          <v:stroke on="f" weight="0.5pt" joinstyle="miter"/>
          <v:imagedata o:title=""/>
          <o:lock v:ext="edit"/>
          <v:textbox inset="0mm,0mm,0mm,0mm" style="mso-fit-shape-to-text:t;">
            <w:txbxContent>
              <w:p w14:paraId="12EEA9EE">
                <w:pPr>
                  <w:pStyle w:val="8"/>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71</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DB0E">
    <w:pPr>
      <w:pStyle w:val="8"/>
      <w:spacing w:after="48"/>
    </w:pPr>
    <w:r>
      <w:pict>
        <v:shape id="_x0000_s2051" o:spid="_x0000_s2051"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path/>
          <v:fill on="f" focussize="0,0"/>
          <v:stroke on="f" weight="0.5pt" joinstyle="miter"/>
          <v:imagedata o:title=""/>
          <o:lock v:ext="edit"/>
          <v:textbox inset="0mm,0mm,0mm,0mm" style="mso-fit-shape-to-text:t;">
            <w:txbxContent>
              <w:p w14:paraId="06950CA4">
                <w:pPr>
                  <w:pStyle w:val="8"/>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70</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76A55">
    <w:pPr>
      <w:pStyle w:val="8"/>
      <w:spacing w:after="48"/>
      <w:jc w:val="both"/>
    </w:pPr>
    <w:r>
      <w:pict>
        <v:shape id="_x0000_s2050" o:spid="_x0000_s2050"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path/>
          <v:fill on="f" focussize="0,0"/>
          <v:stroke on="f" weight="0.5pt" joinstyle="miter"/>
          <v:imagedata o:title=""/>
          <o:lock v:ext="edit"/>
          <v:textbox inset="0mm,0mm,0mm,0mm" style="mso-fit-shape-to-text:t;">
            <w:txbxContent>
              <w:p w14:paraId="4B838D05">
                <w:pPr>
                  <w:pStyle w:val="8"/>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73</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E8041">
    <w:pPr>
      <w:pStyle w:val="8"/>
      <w:spacing w:after="48"/>
    </w:pPr>
    <w:r>
      <w:pict>
        <v:shape id="_x0000_s2049" o:spid="_x0000_s2049"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path/>
          <v:fill on="f" focussize="0,0"/>
          <v:stroke on="f" weight="0.5pt" joinstyle="miter"/>
          <v:imagedata o:title=""/>
          <o:lock v:ext="edit"/>
          <v:textbox inset="0mm,0mm,0mm,0mm" style="mso-fit-shape-to-text:t;">
            <w:txbxContent>
              <w:p w14:paraId="3E01A9ED">
                <w:pPr>
                  <w:pStyle w:val="8"/>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72</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562FA">
    <w:pPr>
      <w:pStyle w:val="8"/>
      <w:ind w:firstLine="284"/>
    </w:pPr>
    <w:r>
      <w:pict>
        <v:shape id="_x0000_s2057" o:spid="_x0000_s2057"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path/>
          <v:fill on="f" focussize="0,0"/>
          <v:stroke on="f" weight="0.5pt" joinstyle="miter"/>
          <v:imagedata o:title=""/>
          <o:lock v:ext="edit"/>
          <v:textbox inset="0mm,0mm,0mm,0mm" style="mso-fit-shape-to-text:t;">
            <w:txbxContent>
              <w:p w14:paraId="619F325A">
                <w:pPr>
                  <w:pStyle w:val="8"/>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0EBD6">
    <w:pPr>
      <w:pStyle w:val="8"/>
      <w:spacing w:after="48"/>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51228">
    <w:pPr>
      <w:pStyle w:val="8"/>
      <w:spacing w:after="4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A43F5">
    <w:pPr>
      <w:pStyle w:val="8"/>
      <w:spacing w:after="48"/>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50308">
    <w:pPr>
      <w:pStyle w:val="8"/>
      <w:spacing w:after="4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35992">
    <w:pPr>
      <w:pStyle w:val="8"/>
      <w:spacing w:after="48"/>
      <w:jc w:val="both"/>
    </w:pPr>
    <w:r>
      <w:pict>
        <v:shape id="_x0000_s2056" o:spid="_x0000_s205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path/>
          <v:fill on="f" focussize="0,0"/>
          <v:stroke on="f" weight="0.5pt" joinstyle="miter"/>
          <v:imagedata o:title=""/>
          <o:lock v:ext="edit"/>
          <v:textbox inset="0mm,0mm,0mm,0mm" style="mso-fit-shape-to-text:t;">
            <w:txbxContent>
              <w:p w14:paraId="64F39EC7">
                <w:pPr>
                  <w:pStyle w:val="8"/>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77F1C">
    <w:pPr>
      <w:pStyle w:val="8"/>
      <w:spacing w:after="48"/>
    </w:pPr>
    <w:r>
      <w:pict>
        <v:shape id="_x0000_s2055" o:spid="_x0000_s2055"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path/>
          <v:fill on="f" focussize="0,0"/>
          <v:stroke on="f" weight="0.5pt" joinstyle="miter"/>
          <v:imagedata o:title=""/>
          <o:lock v:ext="edit"/>
          <v:textbox inset="0mm,0mm,0mm,0mm" style="mso-fit-shape-to-text:t;">
            <w:txbxContent>
              <w:p w14:paraId="068AEADC">
                <w:pPr>
                  <w:pStyle w:val="8"/>
                  <w:rPr>
                    <w:rFonts w:eastAsia="方正仿宋_GBK"/>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2635F">
    <w:pPr>
      <w:pStyle w:val="8"/>
      <w:spacing w:after="48"/>
      <w:jc w:val="both"/>
    </w:pPr>
    <w:r>
      <w:pict>
        <v:shape id="_x0000_s2054" o:spid="_x0000_s2054"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path/>
          <v:fill on="f" focussize="0,0"/>
          <v:stroke on="f" weight="0.5pt" joinstyle="miter"/>
          <v:imagedata o:title=""/>
          <o:lock v:ext="edit"/>
          <v:textbox inset="0mm,0mm,0mm,0mm" style="mso-fit-shape-to-text:t;">
            <w:txbxContent>
              <w:p w14:paraId="3A409E45">
                <w:pPr>
                  <w:pStyle w:val="8"/>
                  <w:rPr>
                    <w:rFonts w:ascii="宋体" w:hAnsi="宋体" w:cs="宋体"/>
                    <w:sz w:val="28"/>
                    <w:szCs w:val="28"/>
                  </w:rPr>
                </w:pPr>
                <w:r>
                  <w:rPr>
                    <w:rFonts w:hint="eastAsia" w:ascii="宋体" w:hAnsi="宋体" w:cs="宋体"/>
                    <w:sz w:val="28"/>
                    <w:szCs w:val="28"/>
                  </w:rPr>
                  <w:t>—</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61</w:t>
                </w:r>
                <w:r>
                  <w:rPr>
                    <w:rFonts w:hint="eastAsia" w:ascii="宋体" w:hAnsi="宋体" w:cs="宋体"/>
                    <w:sz w:val="28"/>
                    <w:szCs w:val="28"/>
                  </w:rPr>
                  <w:fldChar w:fldCharType="end"/>
                </w:r>
                <w:r>
                  <w:rPr>
                    <w:rFonts w:hint="eastAsia" w:ascii="宋体" w:hAnsi="宋体" w:cs="宋体"/>
                    <w:sz w:val="28"/>
                    <w:szCs w:val="28"/>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3B7A4F18">
      <w:pPr>
        <w:pStyle w:val="11"/>
      </w:pPr>
      <w:r>
        <w:rPr>
          <w:rStyle w:val="15"/>
        </w:rPr>
        <w:footnoteRef/>
      </w:r>
      <w:r>
        <w:rPr>
          <w:rFonts w:hint="eastAsia" w:eastAsia="方正仿宋_GBK"/>
          <w:sz w:val="20"/>
          <w:szCs w:val="24"/>
        </w:rPr>
        <w:t>“</w:t>
      </w:r>
      <w:r>
        <w:rPr>
          <w:rStyle w:val="15"/>
          <w:rFonts w:eastAsia="方正仿宋_GBK"/>
          <w:sz w:val="20"/>
          <w:szCs w:val="24"/>
          <w:vertAlign w:val="baseline"/>
        </w:rPr>
        <w:t>1</w:t>
      </w:r>
      <w:r>
        <w:rPr>
          <w:rFonts w:hint="eastAsia" w:eastAsia="方正仿宋_GBK"/>
          <w:sz w:val="20"/>
          <w:szCs w:val="24"/>
        </w:rPr>
        <w:t>”</w:t>
      </w:r>
      <w:r>
        <w:rPr>
          <w:rStyle w:val="15"/>
          <w:rFonts w:hint="eastAsia" w:eastAsia="方正仿宋_GBK"/>
          <w:sz w:val="20"/>
          <w:szCs w:val="24"/>
          <w:vertAlign w:val="baseline"/>
        </w:rPr>
        <w:t>即牛、鸡、猪等畜禽养殖业；</w:t>
      </w:r>
      <w:r>
        <w:rPr>
          <w:rFonts w:hint="eastAsia" w:eastAsia="方正仿宋_GBK"/>
          <w:sz w:val="20"/>
          <w:szCs w:val="24"/>
        </w:rPr>
        <w:t>“</w:t>
      </w:r>
      <w:r>
        <w:rPr>
          <w:rStyle w:val="15"/>
          <w:rFonts w:eastAsia="方正仿宋_GBK"/>
          <w:sz w:val="20"/>
          <w:szCs w:val="24"/>
          <w:vertAlign w:val="baseline"/>
        </w:rPr>
        <w:t>4</w:t>
      </w:r>
      <w:r>
        <w:rPr>
          <w:rFonts w:hint="eastAsia" w:eastAsia="方正仿宋_GBK"/>
          <w:sz w:val="20"/>
          <w:szCs w:val="24"/>
        </w:rPr>
        <w:t>”</w:t>
      </w:r>
      <w:r>
        <w:rPr>
          <w:rStyle w:val="15"/>
          <w:rFonts w:hint="eastAsia" w:eastAsia="方正仿宋_GBK"/>
          <w:sz w:val="20"/>
          <w:szCs w:val="24"/>
          <w:vertAlign w:val="baseline"/>
        </w:rPr>
        <w:t>即红心柚、榨菜、花椒和生态渔业；</w:t>
      </w:r>
      <w:r>
        <w:rPr>
          <w:rFonts w:hint="eastAsia" w:eastAsia="方正仿宋_GBK"/>
          <w:sz w:val="20"/>
          <w:szCs w:val="24"/>
        </w:rPr>
        <w:t>“</w:t>
      </w:r>
      <w:r>
        <w:rPr>
          <w:rStyle w:val="15"/>
          <w:rFonts w:eastAsia="方正仿宋_GBK"/>
          <w:sz w:val="20"/>
          <w:szCs w:val="24"/>
          <w:vertAlign w:val="baseline"/>
        </w:rPr>
        <w:t>X</w:t>
      </w:r>
      <w:r>
        <w:rPr>
          <w:rFonts w:hint="eastAsia" w:eastAsia="方正仿宋_GBK"/>
          <w:sz w:val="20"/>
          <w:szCs w:val="24"/>
        </w:rPr>
        <w:t>”</w:t>
      </w:r>
      <w:r>
        <w:rPr>
          <w:rStyle w:val="15"/>
          <w:rFonts w:hint="eastAsia" w:eastAsia="方正仿宋_GBK"/>
          <w:sz w:val="20"/>
          <w:szCs w:val="24"/>
          <w:vertAlign w:val="baseline"/>
        </w:rPr>
        <w:t>即茶叶、龙眼、柑橘、中药材、烤烟、笋竹、木本油料等</w:t>
      </w:r>
      <w:r>
        <w:rPr>
          <w:rFonts w:hint="eastAsia" w:eastAsia="方正仿宋_GBK"/>
          <w:sz w:val="20"/>
          <w:szCs w:val="24"/>
        </w:rPr>
        <w:t>。</w:t>
      </w:r>
    </w:p>
  </w:footnote>
  <w:footnote w:id="1">
    <w:p w14:paraId="534B5AE1">
      <w:pPr>
        <w:spacing w:line="400" w:lineRule="exact"/>
      </w:pPr>
      <w:r>
        <w:rPr>
          <w:rStyle w:val="15"/>
          <w:sz w:val="24"/>
        </w:rPr>
        <w:footnoteRef/>
      </w:r>
      <w:r>
        <w:rPr>
          <w:rFonts w:hint="eastAsia"/>
          <w:sz w:val="24"/>
        </w:rPr>
        <w:t>“三区”布局：以城市规划区为重点打造沿长江产城景融合发展区，以南天湖为重点打造南部高山旅游度假区，以渠溪河、碧溪河流域为重点打造北部现代农业示范区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D8AAE">
    <w:pPr>
      <w:tabs>
        <w:tab w:val="center" w:pos="4153"/>
        <w:tab w:val="right" w:pos="8306"/>
      </w:tabs>
      <w:spacing w:after="48"/>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D6495">
    <w:pPr>
      <w:tabs>
        <w:tab w:val="center" w:pos="4153"/>
        <w:tab w:val="right" w:pos="8306"/>
      </w:tabs>
      <w:spacing w:after="48"/>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9FE85A"/>
    <w:multiLevelType w:val="singleLevel"/>
    <w:tmpl w:val="E09FE85A"/>
    <w:lvl w:ilvl="0" w:tentative="0">
      <w:start w:val="1"/>
      <w:numFmt w:val="decimal"/>
      <w:suff w:val="space"/>
      <w:lvlText w:val="%1."/>
      <w:lvlJc w:val="left"/>
    </w:lvl>
  </w:abstractNum>
  <w:abstractNum w:abstractNumId="1">
    <w:nsid w:val="EA24EBA2"/>
    <w:multiLevelType w:val="singleLevel"/>
    <w:tmpl w:val="EA24EBA2"/>
    <w:lvl w:ilvl="0" w:tentative="0">
      <w:start w:val="3"/>
      <w:numFmt w:val="chineseCounting"/>
      <w:suff w:val="nothing"/>
      <w:lvlText w:val="%1、"/>
      <w:lvlJc w:val="left"/>
      <w:rPr>
        <w:rFonts w:hint="eastAsia"/>
      </w:rPr>
    </w:lvl>
  </w:abstractNum>
  <w:abstractNum w:abstractNumId="2">
    <w:nsid w:val="278CA81E"/>
    <w:multiLevelType w:val="singleLevel"/>
    <w:tmpl w:val="278CA81E"/>
    <w:lvl w:ilvl="0" w:tentative="0">
      <w:start w:val="6"/>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evenAndOddHeaders w:val="1"/>
  <w:drawingGridVerticalSpacing w:val="221"/>
  <w:displayVerticalDrawingGridEvery w:val="2"/>
  <w:noPunctuationKerning w:val="1"/>
  <w:characterSpacingControl w:val="compressPunctuation"/>
  <w:hdrShapeDefaults>
    <o:shapelayout v:ext="edit">
      <o:idmap v:ext="edit" data="2"/>
    </o:shapelayout>
  </w:hdrShapeDefaults>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RlMTI0ZmZkNWVkNDk2ZTg4NWYwOTQyMjQxMmY4NGEifQ=="/>
  </w:docVars>
  <w:rsids>
    <w:rsidRoot w:val="006564D4"/>
    <w:rsid w:val="00227211"/>
    <w:rsid w:val="002F6191"/>
    <w:rsid w:val="00393E6D"/>
    <w:rsid w:val="006564D4"/>
    <w:rsid w:val="00672525"/>
    <w:rsid w:val="00755DF0"/>
    <w:rsid w:val="0090070C"/>
    <w:rsid w:val="009F4522"/>
    <w:rsid w:val="00D47FD5"/>
    <w:rsid w:val="00E40DAE"/>
    <w:rsid w:val="017F5DEB"/>
    <w:rsid w:val="033E071B"/>
    <w:rsid w:val="04E17E68"/>
    <w:rsid w:val="05701644"/>
    <w:rsid w:val="093E4A98"/>
    <w:rsid w:val="09E71D16"/>
    <w:rsid w:val="0B0B1346"/>
    <w:rsid w:val="0B5D7A8D"/>
    <w:rsid w:val="0C30271D"/>
    <w:rsid w:val="0E6A6B5D"/>
    <w:rsid w:val="0ED7095E"/>
    <w:rsid w:val="110A553C"/>
    <w:rsid w:val="164768DF"/>
    <w:rsid w:val="17947D5A"/>
    <w:rsid w:val="1C28721F"/>
    <w:rsid w:val="1EDD2D2E"/>
    <w:rsid w:val="1EFA73BF"/>
    <w:rsid w:val="208F3282"/>
    <w:rsid w:val="220F0447"/>
    <w:rsid w:val="232D57A5"/>
    <w:rsid w:val="26A649D2"/>
    <w:rsid w:val="2725351F"/>
    <w:rsid w:val="2A2C4ADE"/>
    <w:rsid w:val="2AB01666"/>
    <w:rsid w:val="2B2877C1"/>
    <w:rsid w:val="2C197C11"/>
    <w:rsid w:val="2CB06CBC"/>
    <w:rsid w:val="2D1B377B"/>
    <w:rsid w:val="2EF04032"/>
    <w:rsid w:val="2F737652"/>
    <w:rsid w:val="2FC105A1"/>
    <w:rsid w:val="30680D97"/>
    <w:rsid w:val="306C5FDC"/>
    <w:rsid w:val="31101370"/>
    <w:rsid w:val="31E700F2"/>
    <w:rsid w:val="324C0C07"/>
    <w:rsid w:val="371A0475"/>
    <w:rsid w:val="3ADC46E1"/>
    <w:rsid w:val="3BA046F2"/>
    <w:rsid w:val="3CBB363C"/>
    <w:rsid w:val="3CEA56B4"/>
    <w:rsid w:val="3CFD2A0A"/>
    <w:rsid w:val="43D82EA9"/>
    <w:rsid w:val="46D110ED"/>
    <w:rsid w:val="47380055"/>
    <w:rsid w:val="48BB12A5"/>
    <w:rsid w:val="50460EDA"/>
    <w:rsid w:val="523636A7"/>
    <w:rsid w:val="52946FDD"/>
    <w:rsid w:val="53B9575F"/>
    <w:rsid w:val="548D462B"/>
    <w:rsid w:val="5641688A"/>
    <w:rsid w:val="587D0C50"/>
    <w:rsid w:val="588F0397"/>
    <w:rsid w:val="5E282CCF"/>
    <w:rsid w:val="5EB93CE1"/>
    <w:rsid w:val="5F870FA2"/>
    <w:rsid w:val="60561D75"/>
    <w:rsid w:val="64767116"/>
    <w:rsid w:val="64BD0615"/>
    <w:rsid w:val="65552091"/>
    <w:rsid w:val="692C2C9A"/>
    <w:rsid w:val="6A450615"/>
    <w:rsid w:val="6B712159"/>
    <w:rsid w:val="6D6655C2"/>
    <w:rsid w:val="6DAE0DE7"/>
    <w:rsid w:val="6DF83229"/>
    <w:rsid w:val="6EC32CDF"/>
    <w:rsid w:val="6F524EAC"/>
    <w:rsid w:val="74DB6523"/>
    <w:rsid w:val="752D469B"/>
    <w:rsid w:val="7C2D2B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方正仿宋_GBK" w:cs="Times New Roman"/>
      <w:kern w:val="2"/>
      <w:sz w:val="32"/>
      <w:szCs w:val="22"/>
      <w:lang w:val="en-US" w:eastAsia="zh-CN" w:bidi="ar-SA"/>
    </w:rPr>
  </w:style>
  <w:style w:type="paragraph" w:styleId="3">
    <w:name w:val="heading 1"/>
    <w:basedOn w:val="1"/>
    <w:next w:val="1"/>
    <w:qFormat/>
    <w:uiPriority w:val="0"/>
    <w:pPr>
      <w:spacing w:beforeLines="50"/>
      <w:jc w:val="center"/>
      <w:outlineLvl w:val="0"/>
    </w:pPr>
    <w:rPr>
      <w:rFonts w:ascii="宋体" w:hAnsi="宋体" w:eastAsia="方正小标宋_GBK" w:cs="宋体"/>
      <w:b/>
      <w:bCs/>
      <w:kern w:val="44"/>
      <w:szCs w:val="48"/>
    </w:rPr>
  </w:style>
  <w:style w:type="paragraph" w:styleId="4">
    <w:name w:val="heading 2"/>
    <w:basedOn w:val="1"/>
    <w:next w:val="1"/>
    <w:qFormat/>
    <w:uiPriority w:val="0"/>
    <w:pPr>
      <w:keepNext/>
      <w:keepLines/>
      <w:widowControl/>
      <w:spacing w:beforeLines="50" w:afterLines="20" w:line="600" w:lineRule="exact"/>
      <w:ind w:firstLine="200" w:firstLineChars="200"/>
      <w:outlineLvl w:val="1"/>
    </w:pPr>
    <w:rPr>
      <w:rFonts w:ascii="Times New Roman" w:hAnsi="Times New Roman" w:eastAsia="方正楷体_GBK"/>
      <w:b/>
      <w:bCs/>
      <w:szCs w:val="32"/>
    </w:rPr>
  </w:style>
  <w:style w:type="paragraph" w:styleId="5">
    <w:name w:val="heading 3"/>
    <w:basedOn w:val="1"/>
    <w:next w:val="1"/>
    <w:qFormat/>
    <w:uiPriority w:val="0"/>
    <w:pPr>
      <w:keepNext/>
      <w:keepLines/>
      <w:outlineLvl w:val="2"/>
    </w:pPr>
    <w:rPr>
      <w:rFonts w:ascii="Times New Roman" w:hAnsi="Times New Roman" w:eastAsia="方正楷体_GBK"/>
      <w:b/>
      <w:bCs/>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pPr>
    <w:rPr>
      <w:rFonts w:ascii="Times New Roman" w:hAnsi="Times New Roman" w:eastAsia="宋体"/>
    </w:rPr>
  </w:style>
  <w:style w:type="paragraph" w:styleId="6">
    <w:name w:val="Body Text"/>
    <w:basedOn w:val="1"/>
    <w:qFormat/>
    <w:uiPriority w:val="0"/>
    <w:pPr>
      <w:spacing w:before="39"/>
      <w:ind w:left="111"/>
    </w:pPr>
    <w:rPr>
      <w:rFonts w:ascii="仿宋_GB2312" w:hAnsi="仿宋_GB2312" w:eastAsia="仿宋_GB2312"/>
      <w:kern w:val="0"/>
      <w:sz w:val="30"/>
      <w:szCs w:val="30"/>
    </w:rPr>
  </w:style>
  <w:style w:type="paragraph" w:styleId="7">
    <w:name w:val="toc 3"/>
    <w:basedOn w:val="1"/>
    <w:next w:val="1"/>
    <w:uiPriority w:val="0"/>
    <w:pPr>
      <w:ind w:left="840" w:leftChars="400"/>
    </w:pPr>
  </w:style>
  <w:style w:type="paragraph" w:styleId="8">
    <w:name w:val="footer"/>
    <w:basedOn w:val="1"/>
    <w:unhideWhenUsed/>
    <w:qFormat/>
    <w:uiPriority w:val="99"/>
    <w:pPr>
      <w:tabs>
        <w:tab w:val="center" w:pos="4153"/>
        <w:tab w:val="right" w:pos="8306"/>
      </w:tabs>
      <w:snapToGrid w:val="0"/>
      <w:jc w:val="left"/>
    </w:pPr>
    <w:rPr>
      <w:rFonts w:ascii="Calibri" w:hAnsi="Calibri" w:eastAsia="宋体"/>
      <w:kern w:val="0"/>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pPr>
      <w:widowControl/>
      <w:tabs>
        <w:tab w:val="right" w:leader="dot" w:pos="8820"/>
      </w:tabs>
      <w:spacing w:after="100" w:line="276" w:lineRule="auto"/>
    </w:pPr>
    <w:rPr>
      <w:rFonts w:ascii="黑体" w:hAnsi="黑体" w:eastAsia="黑体"/>
      <w:kern w:val="0"/>
      <w:sz w:val="24"/>
      <w:szCs w:val="24"/>
    </w:rPr>
  </w:style>
  <w:style w:type="paragraph" w:styleId="11">
    <w:name w:val="footnote text"/>
    <w:basedOn w:val="1"/>
    <w:qFormat/>
    <w:uiPriority w:val="0"/>
    <w:pPr>
      <w:snapToGrid w:val="0"/>
      <w:jc w:val="left"/>
    </w:pPr>
    <w:rPr>
      <w:rFonts w:ascii="Times New Roman" w:hAnsi="Times New Roman" w:eastAsia="宋体"/>
      <w:sz w:val="18"/>
    </w:rPr>
  </w:style>
  <w:style w:type="paragraph" w:styleId="12">
    <w:name w:val="toc 2"/>
    <w:basedOn w:val="1"/>
    <w:next w:val="1"/>
    <w:qFormat/>
    <w:uiPriority w:val="0"/>
    <w:pPr>
      <w:widowControl/>
      <w:spacing w:after="100" w:line="276" w:lineRule="auto"/>
      <w:ind w:left="220"/>
    </w:pPr>
    <w:rPr>
      <w:rFonts w:ascii="Calibri" w:hAnsi="Calibri" w:eastAsia="宋体"/>
      <w:kern w:val="0"/>
      <w:sz w:val="22"/>
    </w:rPr>
  </w:style>
  <w:style w:type="character" w:styleId="15">
    <w:name w:val="footnote reference"/>
    <w:qFormat/>
    <w:uiPriority w:val="0"/>
    <w:rPr>
      <w:rFonts w:ascii="Times New Roman" w:hAnsi="Times New Roman" w:eastAsia="宋体" w:cs="Times New Roman"/>
      <w:vertAlign w:val="superscript"/>
    </w:rPr>
  </w:style>
  <w:style w:type="paragraph" w:customStyle="1" w:styleId="16">
    <w:name w:val="BodyText"/>
    <w:basedOn w:val="1"/>
    <w:qFormat/>
    <w:uiPriority w:val="0"/>
    <w:pPr>
      <w:ind w:left="100" w:leftChars="100" w:right="100" w:rightChars="100"/>
    </w:pPr>
    <w:rPr>
      <w:rFonts w:ascii="Times New Roman" w:hAnsi="Times New Roman" w:eastAsia="宋体"/>
    </w:rPr>
  </w:style>
  <w:style w:type="character" w:customStyle="1" w:styleId="17">
    <w:name w:val="font112"/>
    <w:basedOn w:val="14"/>
    <w:qFormat/>
    <w:uiPriority w:val="0"/>
    <w:rPr>
      <w:rFonts w:hint="default" w:ascii="Times New Roman" w:hAnsi="Times New Roman" w:eastAsia="宋体" w:cs="Times New Roman"/>
      <w:color w:val="000000"/>
      <w:sz w:val="24"/>
      <w:szCs w:val="24"/>
      <w:u w:val="none"/>
    </w:rPr>
  </w:style>
  <w:style w:type="character" w:customStyle="1" w:styleId="18">
    <w:name w:val="font41"/>
    <w:basedOn w:val="14"/>
    <w:qFormat/>
    <w:uiPriority w:val="0"/>
    <w:rPr>
      <w:rFonts w:hint="eastAsia" w:ascii="宋体" w:hAnsi="宋体" w:eastAsia="宋体" w:cs="宋体"/>
      <w:color w:val="000000"/>
      <w:sz w:val="24"/>
      <w:szCs w:val="24"/>
      <w:u w:val="none"/>
    </w:rPr>
  </w:style>
  <w:style w:type="character" w:customStyle="1" w:styleId="19">
    <w:name w:val="font61"/>
    <w:basedOn w:val="14"/>
    <w:qFormat/>
    <w:uiPriority w:val="0"/>
    <w:rPr>
      <w:rFonts w:hint="default" w:ascii="Times New Roman" w:hAnsi="Times New Roman" w:eastAsia="宋体" w:cs="Times New Roman"/>
      <w:color w:val="000000"/>
      <w:sz w:val="24"/>
      <w:szCs w:val="24"/>
      <w:u w:val="none"/>
    </w:rPr>
  </w:style>
  <w:style w:type="character" w:customStyle="1" w:styleId="20">
    <w:name w:val="font91"/>
    <w:basedOn w:val="14"/>
    <w:qFormat/>
    <w:uiPriority w:val="0"/>
    <w:rPr>
      <w:rFonts w:hint="eastAsia" w:ascii="方正小标宋_GBK" w:hAnsi="方正小标宋_GBK" w:eastAsia="方正小标宋_GBK" w:cs="方正小标宋_GBK"/>
      <w:color w:val="000000"/>
      <w:sz w:val="40"/>
      <w:szCs w:val="40"/>
      <w:u w:val="none"/>
    </w:rPr>
  </w:style>
  <w:style w:type="character" w:customStyle="1" w:styleId="21">
    <w:name w:val="font101"/>
    <w:basedOn w:val="14"/>
    <w:qFormat/>
    <w:uiPriority w:val="0"/>
    <w:rPr>
      <w:rFonts w:hint="eastAsia" w:ascii="宋体" w:hAnsi="宋体" w:eastAsia="宋体" w:cs="宋体"/>
      <w:b/>
      <w:bCs/>
      <w:color w:val="000000"/>
      <w:sz w:val="20"/>
      <w:szCs w:val="20"/>
      <w:u w:val="none"/>
    </w:rPr>
  </w:style>
  <w:style w:type="character" w:customStyle="1" w:styleId="22">
    <w:name w:val="font01"/>
    <w:basedOn w:val="14"/>
    <w:qFormat/>
    <w:uiPriority w:val="0"/>
    <w:rPr>
      <w:rFonts w:hint="default" w:ascii="Times New Roman" w:hAnsi="Times New Roman" w:cs="Times New Roman"/>
      <w:b/>
      <w:bCs/>
      <w:color w:val="000000"/>
      <w:sz w:val="20"/>
      <w:szCs w:val="20"/>
      <w:u w:val="none"/>
    </w:rPr>
  </w:style>
  <w:style w:type="character" w:customStyle="1" w:styleId="23">
    <w:name w:val="font121"/>
    <w:basedOn w:val="14"/>
    <w:qFormat/>
    <w:uiPriority w:val="0"/>
    <w:rPr>
      <w:rFonts w:hint="eastAsia" w:ascii="宋体" w:hAnsi="宋体" w:eastAsia="宋体" w:cs="宋体"/>
      <w:color w:val="000000"/>
      <w:sz w:val="20"/>
      <w:szCs w:val="20"/>
      <w:u w:val="none"/>
    </w:rPr>
  </w:style>
  <w:style w:type="character" w:customStyle="1" w:styleId="24">
    <w:name w:val="font111"/>
    <w:basedOn w:val="14"/>
    <w:qFormat/>
    <w:uiPriority w:val="0"/>
    <w:rPr>
      <w:rFonts w:hint="default" w:ascii="Times New Roman" w:hAnsi="Times New Roman" w:cs="Times New Roman"/>
      <w:color w:val="000000"/>
      <w:sz w:val="20"/>
      <w:szCs w:val="20"/>
      <w:u w:val="none"/>
    </w:rPr>
  </w:style>
  <w:style w:type="character" w:customStyle="1" w:styleId="25">
    <w:name w:val="font151"/>
    <w:basedOn w:val="14"/>
    <w:qFormat/>
    <w:uiPriority w:val="0"/>
    <w:rPr>
      <w:rFonts w:hint="eastAsia" w:ascii="宋体" w:hAnsi="宋体" w:eastAsia="宋体" w:cs="宋体"/>
      <w:color w:val="000000"/>
      <w:sz w:val="20"/>
      <w:szCs w:val="20"/>
      <w:u w:val="none"/>
    </w:rPr>
  </w:style>
  <w:style w:type="character" w:customStyle="1" w:styleId="26">
    <w:name w:val="font201"/>
    <w:basedOn w:val="14"/>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7669</Words>
  <Characters>8459</Characters>
  <Lines>261</Lines>
  <Paragraphs>73</Paragraphs>
  <TotalTime>26</TotalTime>
  <ScaleCrop>false</ScaleCrop>
  <LinksUpToDate>false</LinksUpToDate>
  <CharactersWithSpaces>8513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2022-09-19T02:58:00Z</dcterms:created>
  <dc:creator>jtj20191122</dc:creator>
  <cp:lastModifiedBy>温星星</cp:lastModifiedBy>
  <cp:lastPrinted>2022-09-23T09:50:00Z</cp:lastPrinted>
  <dcterms:modified xsi:type="dcterms:W3CDTF">2025-04-18T02:22:21Z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CB157E35A8D443ED837BC536330F5F5B</vt:lpwstr>
  </property>
  <property fmtid="{D5CDD505-2E9C-101B-9397-08002B2CF9AE}" pid="4" name="KSOTemplateDocerSaveRecord">
    <vt:lpwstr>eyJoZGlkIjoiZDRlMTI0ZmZkNWVkNDk2ZTg4NWYwOTQyMjQxMmY4NGEiLCJ1c2VySWQiOiIxMzIzODcwMDMzIn0=</vt:lpwstr>
  </property>
</Properties>
</file>