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37A32">
      <w:pPr>
        <w:pStyle w:val="7"/>
        <w:jc w:val="left"/>
        <w:rPr>
          <w:rFonts w:hint="default" w:ascii="Times New Roman" w:hAnsi="Times New Roman" w:eastAsia="方正黑体_GBK" w:cs="Times New Roman"/>
          <w:b w:val="0"/>
          <w:sz w:val="32"/>
          <w:szCs w:val="32"/>
          <w:lang w:val="en-US" w:eastAsia="zh-CN"/>
        </w:rPr>
      </w:pPr>
      <w:r>
        <w:rPr>
          <w:rFonts w:hint="default" w:ascii="Times New Roman" w:hAnsi="Times New Roman" w:eastAsia="方正黑体_GBK" w:cs="Times New Roman"/>
          <w:b w:val="0"/>
          <w:sz w:val="32"/>
          <w:szCs w:val="32"/>
          <w:lang w:eastAsia="zh-CN"/>
        </w:rPr>
        <w:t>附件</w:t>
      </w:r>
      <w:r>
        <w:rPr>
          <w:rFonts w:hint="eastAsia" w:ascii="Times New Roman" w:hAnsi="Times New Roman" w:eastAsia="方正黑体_GBK" w:cs="Times New Roman"/>
          <w:b w:val="0"/>
          <w:sz w:val="32"/>
          <w:szCs w:val="32"/>
          <w:lang w:val="en-US" w:eastAsia="zh-CN"/>
        </w:rPr>
        <w:t>6</w:t>
      </w:r>
    </w:p>
    <w:p w14:paraId="37D4A42C">
      <w:pPr>
        <w:pStyle w:val="7"/>
        <w:jc w:val="left"/>
        <w:rPr>
          <w:rFonts w:ascii="方正公文小标宋" w:eastAsia="方正公文小标宋"/>
          <w:b w:val="0"/>
          <w:sz w:val="84"/>
          <w:szCs w:val="84"/>
          <w:lang w:eastAsia="zh-CN"/>
        </w:rPr>
      </w:pPr>
    </w:p>
    <w:p w14:paraId="439D8A1D">
      <w:pPr>
        <w:pStyle w:val="7"/>
        <w:jc w:val="left"/>
        <w:rPr>
          <w:rFonts w:ascii="方正公文小标宋" w:eastAsia="方正公文小标宋"/>
          <w:b w:val="0"/>
          <w:sz w:val="84"/>
          <w:szCs w:val="84"/>
          <w:lang w:eastAsia="zh-CN"/>
        </w:rPr>
      </w:pPr>
    </w:p>
    <w:p w14:paraId="140C211C">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r>
        <w:rPr>
          <w:rFonts w:hint="eastAsia" w:ascii="方正小标宋_GBK" w:hAnsi="方正小标宋_GBK" w:eastAsia="方正小标宋_GBK" w:cs="方正小标宋_GBK"/>
          <w:snapToGrid/>
          <w:color w:val="auto"/>
          <w:kern w:val="2"/>
          <w:sz w:val="72"/>
          <w:szCs w:val="72"/>
          <w:lang w:eastAsia="zh-CN"/>
        </w:rPr>
        <w:t>重庆市丰都县双路镇履行职责事项清单</w:t>
      </w:r>
    </w:p>
    <w:p w14:paraId="5CE864E1">
      <w:pPr>
        <w:rPr>
          <w:rFonts w:ascii="方正公文小标宋" w:eastAsia="方正公文小标宋"/>
          <w:sz w:val="84"/>
          <w:szCs w:val="84"/>
          <w:lang w:eastAsia="zh-CN"/>
        </w:rPr>
      </w:pPr>
    </w:p>
    <w:p w14:paraId="6275B107">
      <w:pPr>
        <w:rPr>
          <w:rFonts w:ascii="方正公文小标宋" w:eastAsia="方正公文小标宋"/>
          <w:sz w:val="84"/>
          <w:szCs w:val="84"/>
          <w:lang w:eastAsia="zh-CN"/>
        </w:rPr>
      </w:pPr>
    </w:p>
    <w:p w14:paraId="713D4688">
      <w:pPr>
        <w:kinsoku/>
        <w:autoSpaceDE/>
        <w:autoSpaceDN/>
        <w:adjustRightInd/>
        <w:snapToGrid/>
        <w:textAlignment w:val="auto"/>
        <w:rPr>
          <w:rFonts w:eastAsiaTheme="minorEastAsia"/>
          <w:b/>
          <w:sz w:val="32"/>
          <w:lang w:eastAsia="zh-CN"/>
        </w:rPr>
      </w:pPr>
      <w:r>
        <w:rPr>
          <w:rFonts w:eastAsiaTheme="minorEastAsia"/>
          <w:lang w:eastAsia="zh-CN"/>
        </w:rPr>
        <w:br w:type="page"/>
      </w:r>
    </w:p>
    <w:p w14:paraId="792B1854">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目</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rPr>
        <w:t>录</w:t>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F5B9C0C">
          <w:pPr>
            <w:pStyle w:val="20"/>
            <w:jc w:val="center"/>
            <w:rPr>
              <w:rFonts w:hint="eastAsia" w:ascii="方正小标宋_GBK" w:hAnsi="方正小标宋_GBK" w:eastAsia="方正小标宋_GBK" w:cs="方正小标宋_GBK"/>
              <w:b w:val="0"/>
              <w:bCs w:val="0"/>
              <w:snapToGrid/>
              <w:color w:val="auto"/>
              <w:kern w:val="2"/>
              <w:sz w:val="44"/>
              <w:szCs w:val="44"/>
              <w:lang w:val="zh-CN" w:eastAsia="zh-CN" w:bidi="ar-SA"/>
            </w:rPr>
          </w:pPr>
        </w:p>
        <w:p w14:paraId="1E032703">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223DC6DF">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7F705592">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8</w:t>
          </w:r>
        </w:p>
        <w:p w14:paraId="1F98AA26">
          <w:pPr>
            <w:pStyle w:val="6"/>
            <w:numPr>
              <w:ilvl w:val="0"/>
              <w:numId w:val="0"/>
            </w:numPr>
            <w:ind w:leftChars="0"/>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Fonts w:hint="default" w:ascii="Times New Roman" w:hAnsi="Times New Roman" w:eastAsia="方正仿宋_GBK" w:cs="Times New Roman"/>
              <w:color w:val="auto"/>
              <w:spacing w:val="7"/>
              <w:sz w:val="32"/>
              <w:szCs w:val="32"/>
              <w:lang w:eastAsia="zh-CN"/>
            </w:rPr>
            <w:fldChar w:fldCharType="end"/>
          </w:r>
        </w:p>
      </w:sdtContent>
    </w:sdt>
    <w:p w14:paraId="3253FBCD">
      <w:pPr>
        <w:pStyle w:val="2"/>
        <w:widowControl w:val="0"/>
        <w:kinsoku/>
        <w:autoSpaceDE/>
        <w:autoSpaceDN/>
        <w:adjustRightInd/>
        <w:snapToGrid/>
        <w:spacing w:before="0" w:after="0" w:line="240" w:lineRule="auto"/>
        <w:jc w:val="both"/>
        <w:textAlignment w:val="auto"/>
        <w:rPr>
          <w:rFonts w:hint="eastAsia" w:ascii="方正小标宋_GBK" w:hAnsi="宋体" w:eastAsia="方正小标宋_GBK" w:cs="方正小标宋_GBK"/>
          <w:b w:val="0"/>
          <w:snapToGrid/>
          <w:lang w:eastAsia="zh-CN"/>
        </w:rPr>
      </w:pPr>
    </w:p>
    <w:p w14:paraId="147A90F3">
      <w:pPr>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0"/>
        <w:rPr>
          <w:rFonts w:hint="eastAsia" w:ascii="方正小标宋_GBK" w:hAnsi="Calibri" w:eastAsia="方正小标宋_GBK" w:cs="方正小标宋_GBK"/>
          <w:b w:val="0"/>
          <w:bCs w:val="0"/>
          <w:snapToGrid/>
          <w:color w:val="000000" w:themeColor="text1"/>
          <w:kern w:val="44"/>
          <w:sz w:val="44"/>
          <w:szCs w:val="44"/>
          <w:lang w:val="en-US" w:eastAsia="zh-CN" w:bidi="ar-SA"/>
          <w14:textFill>
            <w14:solidFill>
              <w14:schemeClr w14:val="tx1"/>
            </w14:solidFill>
          </w14:textFill>
        </w:rPr>
      </w:pPr>
      <w:r>
        <w:rPr>
          <w:rFonts w:hint="eastAsia" w:ascii="方正小标宋_GBK" w:hAnsi="Calibri" w:eastAsia="方正小标宋_GBK" w:cs="方正小标宋_GBK"/>
          <w:b w:val="0"/>
          <w:bCs w:val="0"/>
          <w:snapToGrid/>
          <w:color w:val="000000" w:themeColor="text1"/>
          <w:kern w:val="44"/>
          <w:sz w:val="44"/>
          <w:szCs w:val="44"/>
          <w:lang w:val="en-US" w:eastAsia="zh-CN" w:bidi="ar-SA"/>
          <w14:textFill>
            <w14:solidFill>
              <w14:schemeClr w14:val="tx1"/>
            </w14:solidFill>
          </w14:textFill>
        </w:rPr>
        <w:t>基本履职事项清单</w:t>
      </w:r>
    </w:p>
    <w:tbl>
      <w:tblPr>
        <w:tblStyle w:val="8"/>
        <w:tblW w:w="14045" w:type="dxa"/>
        <w:tblInd w:w="96" w:type="dxa"/>
        <w:tblLayout w:type="autofit"/>
        <w:tblCellMar>
          <w:top w:w="0" w:type="dxa"/>
          <w:left w:w="108" w:type="dxa"/>
          <w:bottom w:w="0" w:type="dxa"/>
          <w:right w:w="108" w:type="dxa"/>
        </w:tblCellMar>
      </w:tblPr>
      <w:tblGrid>
        <w:gridCol w:w="712"/>
        <w:gridCol w:w="13333"/>
      </w:tblGrid>
      <w:tr w14:paraId="069B3E0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B92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DFD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center"/>
              <w:textAlignment w:val="auto"/>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eastAsia="zh-CN" w:bidi="ar"/>
                <w14:textFill>
                  <w14:solidFill>
                    <w14:schemeClr w14:val="tx1"/>
                  </w14:solidFill>
                </w14:textFill>
              </w:rPr>
              <w:t>事项名称</w:t>
            </w:r>
          </w:p>
        </w:tc>
      </w:tr>
      <w:tr w14:paraId="2398503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90AA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i w:val="0"/>
                <w:iCs w:val="0"/>
                <w:strike w:val="0"/>
                <w:dstrike w:val="0"/>
                <w:snapToGrid/>
                <w:color w:val="000000" w:themeColor="text1"/>
                <w:kern w:val="2"/>
                <w:sz w:val="21"/>
                <w:szCs w:val="21"/>
                <w:u w:val="none"/>
                <w:lang w:eastAsia="zh-CN" w:bidi="ar"/>
                <w14:textFill>
                  <w14:solidFill>
                    <w14:schemeClr w14:val="tx1"/>
                  </w14:solidFill>
                </w14:textFill>
              </w:rPr>
              <w:t>一、党的建设（2</w:t>
            </w:r>
            <w:r>
              <w:rPr>
                <w:rFonts w:hint="eastAsia" w:ascii="Times New Roman" w:hAnsi="Times New Roman" w:eastAsia="方正黑体_GBK" w:cs="Times New Roman"/>
                <w:b w:val="0"/>
                <w:bCs w:val="0"/>
                <w:i w:val="0"/>
                <w:iCs w:val="0"/>
                <w:strike w:val="0"/>
                <w:dstrike w:val="0"/>
                <w:snapToGrid/>
                <w:color w:val="000000" w:themeColor="text1"/>
                <w:kern w:val="2"/>
                <w:sz w:val="21"/>
                <w:szCs w:val="21"/>
                <w:u w:val="none"/>
                <w:lang w:val="en-US" w:eastAsia="zh-CN" w:bidi="ar"/>
                <w14:textFill>
                  <w14:solidFill>
                    <w14:schemeClr w14:val="tx1"/>
                  </w14:solidFill>
                </w14:textFill>
              </w:rPr>
              <w:t>3</w:t>
            </w:r>
            <w:r>
              <w:rPr>
                <w:rFonts w:hint="eastAsia" w:ascii="Times New Roman" w:hAnsi="Times New Roman" w:eastAsia="方正黑体_GBK" w:cs="Times New Roman"/>
                <w:b w:val="0"/>
                <w:bCs w:val="0"/>
                <w:i w:val="0"/>
                <w:iCs w:val="0"/>
                <w:strike w:val="0"/>
                <w:dstrike w:val="0"/>
                <w:snapToGrid/>
                <w:color w:val="000000" w:themeColor="text1"/>
                <w:kern w:val="2"/>
                <w:sz w:val="21"/>
                <w:szCs w:val="21"/>
                <w:u w:val="none"/>
                <w:lang w:eastAsia="zh-CN" w:bidi="ar"/>
                <w14:textFill>
                  <w14:solidFill>
                    <w14:schemeClr w14:val="tx1"/>
                  </w14:solidFill>
                </w14:textFill>
              </w:rPr>
              <w:t>项）</w:t>
            </w:r>
          </w:p>
        </w:tc>
      </w:tr>
      <w:tr w14:paraId="0BE940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99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05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687632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B7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84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2DE741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AA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C9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7324F4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63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82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加强党员队伍建设，负责本镇党员的发展、教育、管理、监督和服务，做好党费收缴、使用和管理，开展党内关怀、党员激励工作。</w:t>
            </w:r>
          </w:p>
        </w:tc>
      </w:tr>
      <w:tr w14:paraId="7123EC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37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2F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56D2F5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68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F4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65E990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4D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D9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6916A9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05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27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2FFC47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6D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2B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负责本镇数字重庆建设工作，推进“141”基层智治体系建设。</w:t>
            </w:r>
          </w:p>
        </w:tc>
      </w:tr>
      <w:tr w14:paraId="68D70B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CB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5C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03AD9F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F8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9D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67351E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3F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76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7E168A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64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FA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1ED8CB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92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43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489322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33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3A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495A29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ED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5D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75E51D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AF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3A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27582C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68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01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36A427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A9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16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29793C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4A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86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6CDBBC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70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89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733B0C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5F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DF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7F9A9F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26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C2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2E47E75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AB9D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i w:val="0"/>
                <w:iCs w:val="0"/>
                <w:strike w:val="0"/>
                <w:dstrike w:val="0"/>
                <w:snapToGrid/>
                <w:color w:val="000000" w:themeColor="text1"/>
                <w:kern w:val="2"/>
                <w:sz w:val="21"/>
                <w:szCs w:val="21"/>
                <w:u w:val="none"/>
                <w:lang w:eastAsia="zh-CN" w:bidi="ar"/>
                <w14:textFill>
                  <w14:solidFill>
                    <w14:schemeClr w14:val="tx1"/>
                  </w14:solidFill>
                </w14:textFill>
              </w:rPr>
              <w:t>二、经济发展（10项）</w:t>
            </w:r>
          </w:p>
        </w:tc>
      </w:tr>
      <w:tr w14:paraId="299974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33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F4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1C8C03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A3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C7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5B9D45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82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12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408C17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69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FE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244795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DF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9F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24A39B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C4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93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251894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FE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AF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665811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97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0C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343DFD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90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A5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6474DC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06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4D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zh-CN" w:bidi="ar"/>
                <w14:textFill>
                  <w14:solidFill>
                    <w14:schemeClr w14:val="tx1"/>
                  </w14:solidFill>
                </w14:textFill>
              </w:rPr>
              <w:t>开展</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大中型水库移民后扶工作。</w:t>
            </w:r>
          </w:p>
        </w:tc>
      </w:tr>
      <w:tr w14:paraId="7795786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3E10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i w:val="0"/>
                <w:iCs w:val="0"/>
                <w:strike w:val="0"/>
                <w:dstrike w:val="0"/>
                <w:snapToGrid/>
                <w:color w:val="000000" w:themeColor="text1"/>
                <w:kern w:val="2"/>
                <w:sz w:val="21"/>
                <w:szCs w:val="21"/>
                <w:u w:val="none"/>
                <w:lang w:eastAsia="zh-CN" w:bidi="ar"/>
                <w14:textFill>
                  <w14:solidFill>
                    <w14:schemeClr w14:val="tx1"/>
                  </w14:solidFill>
                </w14:textFill>
              </w:rPr>
              <w:t>三、民生服务（15项）</w:t>
            </w:r>
          </w:p>
        </w:tc>
      </w:tr>
      <w:tr w14:paraId="2D8018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B5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3F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3A34D9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F3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26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29979B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86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AA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316EF8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EA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E0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4DE1E7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A7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F7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28EC0C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10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00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6507A4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CE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CA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67F6A0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AE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AB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676374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82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1C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0E1ED0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60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DA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0F1D33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10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E5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5EE352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5F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3E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194DD7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19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BA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0A70DA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3A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01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负责指导辖区内业主大会、业主委员会成立、调整、换届、选举，监督其依法履职。</w:t>
            </w:r>
          </w:p>
        </w:tc>
      </w:tr>
      <w:tr w14:paraId="00FA65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C3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1A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负责指导和监督辖区内物业服务企业履行法定义务，协调处置物业纠纷矛盾。</w:t>
            </w:r>
          </w:p>
        </w:tc>
      </w:tr>
      <w:tr w14:paraId="0BCE25A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38A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i w:val="0"/>
                <w:iCs w:val="0"/>
                <w:strike w:val="0"/>
                <w:dstrike w:val="0"/>
                <w:snapToGrid/>
                <w:color w:val="000000" w:themeColor="text1"/>
                <w:kern w:val="2"/>
                <w:sz w:val="21"/>
                <w:szCs w:val="21"/>
                <w:u w:val="none"/>
                <w:lang w:eastAsia="zh-CN" w:bidi="ar"/>
                <w14:textFill>
                  <w14:solidFill>
                    <w14:schemeClr w14:val="tx1"/>
                  </w14:solidFill>
                </w14:textFill>
              </w:rPr>
              <w:t>四、平安法治（17项）</w:t>
            </w:r>
          </w:p>
        </w:tc>
      </w:tr>
      <w:tr w14:paraId="2D9F57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4F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E0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73FF00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1C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5E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38B55D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F0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56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49FC0C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3B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3B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2F13BD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3D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E1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3A01CA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19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E8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2DF23F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DE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F1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341A63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55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9F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2FBEB6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9D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26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0EBEA9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4D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5F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4979BC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78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89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593AF5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0E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D4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镇级人民调解委员会，开展人民调解工作，依法受理调解申请，调解成功的组织双方签订调解协议书，调解不成的指导双方到上级机构调解、申请仲裁或诉讼，定期回访跟踪调解协议履行情况，防止矛盾反弹。</w:t>
            </w:r>
          </w:p>
        </w:tc>
      </w:tr>
      <w:tr w14:paraId="2533C4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FE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4D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5C828A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9B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F9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6985F6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C5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00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257A7B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D8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49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1AE762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CD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5F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负责铁路沿线红线外隐患巡查、问题上报等护路工作。</w:t>
            </w:r>
          </w:p>
        </w:tc>
      </w:tr>
      <w:tr w14:paraId="4641613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51DD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i w:val="0"/>
                <w:iCs w:val="0"/>
                <w:strike w:val="0"/>
                <w:dstrike w:val="0"/>
                <w:snapToGrid/>
                <w:color w:val="000000" w:themeColor="text1"/>
                <w:kern w:val="2"/>
                <w:sz w:val="21"/>
                <w:szCs w:val="21"/>
                <w:u w:val="none"/>
                <w:lang w:eastAsia="zh-CN" w:bidi="ar"/>
                <w14:textFill>
                  <w14:solidFill>
                    <w14:schemeClr w14:val="tx1"/>
                  </w14:solidFill>
                </w14:textFill>
              </w:rPr>
              <w:t>五、乡村振兴（8项）</w:t>
            </w:r>
          </w:p>
        </w:tc>
      </w:tr>
      <w:tr w14:paraId="241E6C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B9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54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6834BD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85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37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2AB6C3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2E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FB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109616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2C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91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4AF541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A9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A0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066C6C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3E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14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2011B0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98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AD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7AFACD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91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D2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1AD8544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4038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i w:val="0"/>
                <w:iCs w:val="0"/>
                <w:strike w:val="0"/>
                <w:dstrike w:val="0"/>
                <w:snapToGrid/>
                <w:color w:val="000000" w:themeColor="text1"/>
                <w:kern w:val="2"/>
                <w:sz w:val="21"/>
                <w:szCs w:val="21"/>
                <w:u w:val="none"/>
                <w:lang w:eastAsia="zh-CN" w:bidi="ar"/>
                <w14:textFill>
                  <w14:solidFill>
                    <w14:schemeClr w14:val="tx1"/>
                  </w14:solidFill>
                </w14:textFill>
              </w:rPr>
              <w:t>六、生态环保（4项）</w:t>
            </w:r>
          </w:p>
        </w:tc>
      </w:tr>
      <w:tr w14:paraId="3E2643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60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1D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7FEAF2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10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AA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31728E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64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4D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2BA2B7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BD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03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56EC315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0669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i w:val="0"/>
                <w:iCs w:val="0"/>
                <w:strike w:val="0"/>
                <w:dstrike w:val="0"/>
                <w:snapToGrid/>
                <w:color w:val="000000" w:themeColor="text1"/>
                <w:kern w:val="2"/>
                <w:sz w:val="21"/>
                <w:szCs w:val="21"/>
                <w:u w:val="none"/>
                <w:lang w:eastAsia="zh-CN" w:bidi="ar"/>
                <w14:textFill>
                  <w14:solidFill>
                    <w14:schemeClr w14:val="tx1"/>
                  </w14:solidFill>
                </w14:textFill>
              </w:rPr>
              <w:t>七、城乡建设（6项）</w:t>
            </w:r>
          </w:p>
        </w:tc>
      </w:tr>
      <w:tr w14:paraId="61F884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FF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12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7E8E4E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01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91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3AB474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78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02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3E3A8B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6D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25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Style w:val="23"/>
                <w:rFonts w:hint="default" w:ascii="Times New Roman" w:hAnsi="Times New Roman" w:cs="Times New Roman"/>
                <w:b w:val="0"/>
                <w:bCs w:val="0"/>
                <w:color w:val="000000" w:themeColor="text1"/>
                <w:sz w:val="21"/>
                <w:szCs w:val="21"/>
                <w:lang w:val="en-US" w:eastAsia="zh-CN"/>
                <w14:textFill>
                  <w14:solidFill>
                    <w14:schemeClr w14:val="tx1"/>
                  </w14:solidFill>
                </w14:textFill>
              </w:rPr>
              <w:t>负责本镇市容环卫、市政设施维护、园林绿化管理、垃圾分类、农村垃圾清运等工作。</w:t>
            </w:r>
          </w:p>
        </w:tc>
      </w:tr>
      <w:tr w14:paraId="59B697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69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47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37F3DA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05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01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3B3B5D8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14E4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i w:val="0"/>
                <w:iCs w:val="0"/>
                <w:strike w:val="0"/>
                <w:dstrike w:val="0"/>
                <w:snapToGrid/>
                <w:color w:val="000000" w:themeColor="text1"/>
                <w:kern w:val="2"/>
                <w:sz w:val="21"/>
                <w:szCs w:val="21"/>
                <w:u w:val="none"/>
                <w:lang w:eastAsia="zh-CN" w:bidi="ar"/>
                <w14:textFill>
                  <w14:solidFill>
                    <w14:schemeClr w14:val="tx1"/>
                  </w14:solidFill>
                </w14:textFill>
              </w:rPr>
              <w:t>八、文化和旅游（2项）</w:t>
            </w:r>
          </w:p>
        </w:tc>
      </w:tr>
      <w:tr w14:paraId="3EFC2D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F1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D1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负责辖区内公共文化场地的开放、管理和服务，组织开展文化娱乐活动。</w:t>
            </w:r>
          </w:p>
        </w:tc>
      </w:tr>
      <w:tr w14:paraId="0D5E38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0B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25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负责乡村旅游发展规划，推进旅游项目建设，开展旅游安全日常巡查，打造莲花山综合旅游度假区。</w:t>
            </w:r>
          </w:p>
        </w:tc>
      </w:tr>
      <w:tr w14:paraId="3C2F721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36B0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i w:val="0"/>
                <w:iCs w:val="0"/>
                <w:strike w:val="0"/>
                <w:dstrike w:val="0"/>
                <w:snapToGrid/>
                <w:color w:val="000000" w:themeColor="text1"/>
                <w:kern w:val="2"/>
                <w:sz w:val="21"/>
                <w:szCs w:val="21"/>
                <w:u w:val="none"/>
                <w:lang w:eastAsia="zh-CN" w:bidi="ar"/>
                <w14:textFill>
                  <w14:solidFill>
                    <w14:schemeClr w14:val="tx1"/>
                  </w14:solidFill>
                </w14:textFill>
              </w:rPr>
              <w:t>九、综合政务（9项）</w:t>
            </w:r>
          </w:p>
        </w:tc>
      </w:tr>
      <w:tr w14:paraId="650ACA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C3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91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6E104A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9B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62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2478E7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1F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15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负责政府信息公开工作。</w:t>
            </w:r>
          </w:p>
        </w:tc>
      </w:tr>
      <w:tr w14:paraId="261909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24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35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10ABBD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05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12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45AC94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D6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1A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67AEAE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62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62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70E7F2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84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FB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67725D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BF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2E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05CE4A59">
      <w:pPr>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0"/>
        <w:rPr>
          <w:rFonts w:ascii="Times New Roman" w:hAnsi="Times New Roman" w:eastAsia="方正小标宋_GBK" w:cs="Times New Roman"/>
          <w:b w:val="0"/>
          <w:bCs w:val="0"/>
          <w:snapToGrid w:val="0"/>
          <w:color w:val="000000" w:themeColor="text1"/>
          <w:kern w:val="44"/>
          <w:sz w:val="44"/>
          <w:szCs w:val="44"/>
          <w:lang w:val="en-US" w:eastAsia="zh-CN" w:bidi="ar"/>
          <w14:textFill>
            <w14:solidFill>
              <w14:schemeClr w14:val="tx1"/>
            </w14:solidFill>
          </w14:textFill>
        </w:rPr>
      </w:pPr>
      <w:r>
        <w:rPr>
          <w:rFonts w:ascii="Times New Roman" w:hAnsi="Times New Roman" w:eastAsia="方正小标宋_GBK" w:cs="Times New Roman"/>
          <w:b w:val="0"/>
          <w:bCs w:val="0"/>
          <w:snapToGrid w:val="0"/>
          <w:color w:val="000000" w:themeColor="text1"/>
          <w:kern w:val="44"/>
          <w:sz w:val="44"/>
          <w:szCs w:val="44"/>
          <w:lang w:val="en-US" w:eastAsia="zh-CN" w:bidi="ar"/>
          <w14:textFill>
            <w14:solidFill>
              <w14:schemeClr w14:val="tx1"/>
            </w14:solidFill>
          </w14:textFill>
        </w:rPr>
        <w:br w:type="page"/>
      </w:r>
      <w:r>
        <w:rPr>
          <w:rFonts w:hint="eastAsia" w:ascii="方正小标宋_GBK" w:hAnsi="宋体" w:eastAsia="方正小标宋_GBK" w:cs="方正小标宋_GBK"/>
          <w:b w:val="0"/>
          <w:bCs w:val="0"/>
          <w:snapToGrid/>
          <w:color w:val="000000" w:themeColor="text1"/>
          <w:kern w:val="44"/>
          <w:sz w:val="44"/>
          <w:szCs w:val="44"/>
          <w:lang w:val="en-US" w:eastAsia="zh-CN" w:bidi="ar-SA"/>
          <w14:textFill>
            <w14:solidFill>
              <w14:schemeClr w14:val="tx1"/>
            </w14:solidFill>
          </w14:textFill>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9825FA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0B0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262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F51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77D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073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镇配合职责</w:t>
            </w:r>
          </w:p>
        </w:tc>
      </w:tr>
      <w:tr w14:paraId="7766C2C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321BC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一、经济发展（6项）</w:t>
            </w:r>
          </w:p>
        </w:tc>
      </w:tr>
      <w:tr w14:paraId="322F157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E6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0A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04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77F17D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62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64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041CB6B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30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7B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C2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5F5CD8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1B0CF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E9957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1B846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2707ED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FDFBD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FF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6D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19F773D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CE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D8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31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3CA03B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535F9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73AD1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E38CA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50F59D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C8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D6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17D67DF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29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C4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E4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5B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42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22E98AE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61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B6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91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92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84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343920B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E2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2D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49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BA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65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3280B82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97FEB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1202304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C3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2A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4D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4833DE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7EDB8D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C01B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2D0AAF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D4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5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6476C8E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5D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F3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8A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00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EF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596EF25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CA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F7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85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46F150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05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65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06DE7EB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B3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48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02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3D3586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542C46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0FD2B3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p>
          <w:p w14:paraId="36928E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47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07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7B322E0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2E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38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E7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62B0E4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BA9A5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1A6F0C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054F07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5C814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8FED9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15CEFB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A0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9D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4EC4CAF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AF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5F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A4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36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A4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59E0471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9D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7C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CC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E8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CD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6363E71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00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C6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A3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0CD3F2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EB2DE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117A9D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00662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AF042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0C8E2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BA703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p>
          <w:p w14:paraId="1F129D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73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5C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1.开展养老服务机构调查摸底。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2.开展日常检查、发现问题隐患上报并督促整改。</w:t>
            </w:r>
          </w:p>
        </w:tc>
      </w:tr>
      <w:tr w14:paraId="10EC301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8E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67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05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A5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DC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2EDDF57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E0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A9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79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EA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3D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71F8554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E9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F1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FF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B0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67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1802EF2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44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ED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5C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0D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08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6A1CD08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17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28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57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49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1E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39A856D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6C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05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00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20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78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0D27402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15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01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07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4A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1B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1D7EE75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65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DC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CF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4D23B9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AB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A4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0D06E5E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E1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64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6A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317537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2CC8AC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46C6BE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19D55D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CE15D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8C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56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0963D38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37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91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25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83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E4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４.上报优抚对象服刑、死亡、考公等影响优抚待遇发放的情况。</w:t>
            </w:r>
          </w:p>
        </w:tc>
      </w:tr>
      <w:tr w14:paraId="7B00A74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7A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62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EE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p w14:paraId="4FC0B4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56A827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52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08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2861E1AF">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15987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0C9AF5D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C3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04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1E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3B43EE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6FDC5F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6AF2B1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1847D2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D7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p>
          <w:p w14:paraId="5AF15B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4.负责开展互联网涉“黄”涉“非”有害信息监测巡查。</w:t>
            </w:r>
            <w:bookmarkStart w:id="0" w:name="_GoBack"/>
            <w:bookmarkEnd w:id="0"/>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87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2.结合日常工作展开展巡查，上报涉“黄”涉“非”行为线索。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005600F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B5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7B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F3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w:t>
            </w:r>
          </w:p>
          <w:p w14:paraId="57BF2D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w:t>
            </w:r>
          </w:p>
          <w:p w14:paraId="4DF29E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12E880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1D2B83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36027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3A9E78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05538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FC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56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203F6D6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5B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69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BD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694824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09E633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3D5AB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EFF49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62BB8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578A4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3C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29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30CC053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86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A0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AC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1468B7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12A05F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26C33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C504D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0E8DCE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72D8E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26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2E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71E9321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08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B4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DF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070018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市场监管局</w:t>
            </w:r>
          </w:p>
          <w:p w14:paraId="215BD5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9163F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5C425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306991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097F6F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E0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7.协同有关部门按照各自职责抓好监管工作。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负责校外培训机构户外广告、招牌设置管理工作。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FF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35118CA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FA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A5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33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7D8F9B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6B000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E591D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1D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DD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0ECBD82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41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A0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51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D8D94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55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94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2.指导村（社区）制定应急预案，建立健全乡镇应急预案体系。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3.负责组建本乡镇及村（社区）抢险救援力量，组织参加上级业务培训和本级业务培训，组织开展日常演练，做好人防、物防、技防等准备工作。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15EC3A0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9C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1E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1E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B14AB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23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17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1.组织开展安全生产知识普及，按照乡镇综合应急预案组织开展演练。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40A024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0A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DC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4F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780024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89D54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BA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90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1807EB6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57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36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56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1FF271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84A39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41B70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p>
          <w:p w14:paraId="2014EB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56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4D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1.开展本乡镇森林防火和农村野外用火安全宣传教育。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1EB4214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04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36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A2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42274B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74371D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18031E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A5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85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6F2BB0F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53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CA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68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71581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244385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89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23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1EDD43B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0D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EA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9E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212FE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71CB2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C48CB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331FF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B1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AC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0D7204D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21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00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73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A1C8A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E2502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AAC72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1DC8BB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E1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68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6E218B3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8F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E5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7F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75165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56D46B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83EC5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C3DFB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7DEF8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p>
          <w:p w14:paraId="6E5BE6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27DCD8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0682C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34D5A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p w14:paraId="61050D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1365B8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37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61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01AC6D0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7B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F2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D5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22D71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028427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C8000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1F1EBF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82350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56A49F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9D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18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7020B88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AA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4E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63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C51B5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40421E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C3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26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057A637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98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A8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48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003CA7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D54A0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54D87C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782875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991E7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91FBB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0F730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A1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91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096AB03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C2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3C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A5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B4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5A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6A3849C7">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511A5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四、乡村振兴（4项）</w:t>
            </w:r>
          </w:p>
        </w:tc>
      </w:tr>
      <w:tr w14:paraId="58EB8D3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AF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93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2A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F6F6C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17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45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3.配合完成风险监测和监督抽查任务，对本乡镇地产农产品开展快速检测或督促种植（养殖）生产主体开展快速检测。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191AA58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6D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38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1D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09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81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099B45F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AA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8B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79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CE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4C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1F03513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B2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7F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FD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7B1926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ED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2.不定期督查驻村队员的三在村情况。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B3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0824B1D2">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F820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五、生态环保（8项）</w:t>
            </w:r>
          </w:p>
        </w:tc>
      </w:tr>
      <w:tr w14:paraId="0A387C0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2A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69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2F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0A75E1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0AE6F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666C3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101738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E5DC1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85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6.对企业事业单位和其他生产经营者的大气污染防治情况进行监督检查。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54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7A8DBDD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93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4B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A2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7F457E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9C706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46E95F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AE546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E3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8A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0DB82C7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8B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0A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76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146D43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73FA8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E6A74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53C3BC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01B4CC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EE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91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1736DB7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DF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7E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31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7702AA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D2058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655DB1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9B2E8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13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70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7609B82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80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46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AE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01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B7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3819F07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A1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38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A7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C7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9B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5FE0E7D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91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48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35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A9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D0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3DB8E7C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3C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27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7F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62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28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32481530">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161E3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六、城乡建设（6项）</w:t>
            </w:r>
          </w:p>
        </w:tc>
      </w:tr>
      <w:tr w14:paraId="4DB0D16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C9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92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FF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77777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74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1B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3FD5F55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5D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F1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6D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41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BD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06DF12A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4E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FE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A9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1A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0E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276CB6C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69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69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92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321550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33A31D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D466E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B3152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F7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                                         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B0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090B11A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C3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EA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56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3E3876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718B25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5F4EA5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6C0A25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DE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5C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255803F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D4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0F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C9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4DD511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1C1229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6E1EE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A7E83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6B422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204FAD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24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D2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3DF5038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93BA1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729E8BD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0D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5E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46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8E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44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2680C28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3E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50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FC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BB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80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5E87B22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8E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B4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8D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BC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3D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5A1CC6A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16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BB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76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3A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23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24D7FE2C">
      <w:pPr>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0"/>
        <w:rPr>
          <w:rFonts w:hint="eastAsia" w:ascii="方正小标宋_GBK" w:hAnsi="宋体" w:eastAsia="方正小标宋_GBK" w:cs="方正小标宋_GBK"/>
          <w:b w:val="0"/>
          <w:bCs w:val="0"/>
          <w:snapToGrid/>
          <w:color w:val="000000" w:themeColor="text1"/>
          <w:kern w:val="44"/>
          <w:sz w:val="44"/>
          <w:szCs w:val="44"/>
          <w:lang w:val="en-US" w:eastAsia="zh-CN" w:bidi="ar-SA"/>
          <w14:textFill>
            <w14:solidFill>
              <w14:schemeClr w14:val="tx1"/>
            </w14:solidFill>
          </w14:textFill>
        </w:rPr>
      </w:pPr>
      <w:r>
        <w:rPr>
          <w:rFonts w:ascii="Times New Roman" w:hAnsi="Times New Roman" w:eastAsia="方正小标宋_GBK" w:cs="Times New Roman"/>
          <w:b w:val="0"/>
          <w:bCs w:val="0"/>
          <w:snapToGrid w:val="0"/>
          <w:color w:val="000000" w:themeColor="text1"/>
          <w:spacing w:val="7"/>
          <w:kern w:val="44"/>
          <w:sz w:val="44"/>
          <w:szCs w:val="44"/>
          <w:lang w:val="en-US" w:eastAsia="zh-CN" w:bidi="ar-SA"/>
          <w14:textFill>
            <w14:solidFill>
              <w14:schemeClr w14:val="tx1"/>
            </w14:solidFill>
          </w14:textFill>
        </w:rPr>
        <w:br w:type="page"/>
      </w:r>
      <w:r>
        <w:rPr>
          <w:rFonts w:hint="eastAsia" w:ascii="方正小标宋_GBK" w:hAnsi="宋体" w:eastAsia="方正小标宋_GBK" w:cs="方正小标宋_GBK"/>
          <w:b w:val="0"/>
          <w:bCs w:val="0"/>
          <w:snapToGrid/>
          <w:color w:val="000000" w:themeColor="text1"/>
          <w:kern w:val="44"/>
          <w:sz w:val="44"/>
          <w:szCs w:val="44"/>
          <w:lang w:val="en-US" w:eastAsia="zh-CN" w:bidi="ar-SA"/>
          <w14:textFill>
            <w14:solidFill>
              <w14:schemeClr w14:val="tx1"/>
            </w14:solidFill>
          </w14:textFill>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D0198F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A7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992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C64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承接部门及工作方式</w:t>
            </w:r>
          </w:p>
        </w:tc>
      </w:tr>
      <w:tr w14:paraId="0369F8E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8812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0B726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31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DB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51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04C54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82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02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0F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21320F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34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44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D9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2.建立县、乡镇（街道）渔业灾害病害以及水生动物疫情信息共享机制。</w:t>
            </w:r>
          </w:p>
        </w:tc>
      </w:tr>
      <w:tr w14:paraId="196509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5B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0C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99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0DCAB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AC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73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7A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37701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26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96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66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17FED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E6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F8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C4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680E6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E4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A5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E2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737BA0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213533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4D43C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CF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8A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E8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08441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77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F9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9A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负责渔业船舶登记审批工作。</w:t>
            </w:r>
          </w:p>
        </w:tc>
      </w:tr>
      <w:tr w14:paraId="52BDE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11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E2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CE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32E28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FA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BD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A7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429DB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46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B1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5B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7D7907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58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13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01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3123879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0EC7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二、民生服务（1</w:t>
            </w:r>
            <w:r>
              <w:rPr>
                <w:rFonts w:hint="eastAsia" w:ascii="Times New Roman" w:hAnsi="Times New Roman" w:eastAsia="方正黑体_GBK" w:cs="Times New Roman"/>
                <w:b w:val="0"/>
                <w:bCs w:val="0"/>
                <w:i w:val="0"/>
                <w:iCs w:val="0"/>
                <w:strike w:val="0"/>
                <w:dstrike w:val="0"/>
                <w:snapToGrid w:val="0"/>
                <w:color w:val="000000" w:themeColor="text1"/>
                <w:kern w:val="0"/>
                <w:sz w:val="21"/>
                <w:szCs w:val="21"/>
                <w:u w:val="none"/>
                <w:lang w:val="en-US" w:eastAsia="zh-CN" w:bidi="ar"/>
                <w14:textFill>
                  <w14:solidFill>
                    <w14:schemeClr w14:val="tx1"/>
                  </w14:solidFill>
                </w14:textFill>
              </w:rPr>
              <w:t>4</w:t>
            </w: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项）</w:t>
            </w:r>
          </w:p>
        </w:tc>
      </w:tr>
      <w:tr w14:paraId="32776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7C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16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1D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2.向乡镇提供追缴违规领取的高龄津贴名单。</w:t>
            </w:r>
          </w:p>
        </w:tc>
      </w:tr>
      <w:tr w14:paraId="167F7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18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CE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24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3B297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24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A8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53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1657D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87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4D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F4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44433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E9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9A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9F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641DD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C8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81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23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2.认真传达贯彻上级文件要求，指导乡镇协同开展相关服务活动。</w:t>
            </w:r>
          </w:p>
        </w:tc>
      </w:tr>
      <w:tr w14:paraId="4BC2E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30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0D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80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2D890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23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EB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72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7E958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A1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38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73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6D3DE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23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9C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9A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1F3E2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97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C9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A9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6FBB5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DE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25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8E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0DB5B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0B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04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11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0EFA8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AD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27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C7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7865515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67B54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三、平安法治（1</w:t>
            </w:r>
            <w:r>
              <w:rPr>
                <w:rFonts w:hint="eastAsia" w:ascii="Times New Roman" w:hAnsi="Times New Roman" w:eastAsia="方正黑体_GBK" w:cs="Times New Roman"/>
                <w:b w:val="0"/>
                <w:bCs w:val="0"/>
                <w:i w:val="0"/>
                <w:iCs w:val="0"/>
                <w:strike w:val="0"/>
                <w:dstrike w:val="0"/>
                <w:snapToGrid w:val="0"/>
                <w:color w:val="000000" w:themeColor="text1"/>
                <w:kern w:val="0"/>
                <w:sz w:val="21"/>
                <w:szCs w:val="21"/>
                <w:u w:val="none"/>
                <w:lang w:val="en-US" w:eastAsia="zh-CN" w:bidi="ar"/>
                <w14:textFill>
                  <w14:solidFill>
                    <w14:schemeClr w14:val="tx1"/>
                  </w14:solidFill>
                </w14:textFill>
              </w:rPr>
              <w:t>7</w:t>
            </w: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项）</w:t>
            </w:r>
          </w:p>
        </w:tc>
      </w:tr>
      <w:tr w14:paraId="39225A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86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0C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21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22D99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FB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A3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91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00662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68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5B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BF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3221B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B3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B9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EB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4D80F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FA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83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B3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146ED7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AF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12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DD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6E88B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9B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DF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5E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12B40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8D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9B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6A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61A43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EA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F5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34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09AF3C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8F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E6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45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5ABAB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D4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69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46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11424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E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EA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07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3837A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A8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33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76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6D314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68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FF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B6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63B70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35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11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A5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61F65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AB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DB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46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41E03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02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E8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18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471D04B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FB29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四、乡村振兴（1项）</w:t>
            </w:r>
          </w:p>
        </w:tc>
      </w:tr>
      <w:tr w14:paraId="16BB52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8C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BC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07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25A71C0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EFC2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五、生态环保（9项）</w:t>
            </w:r>
          </w:p>
        </w:tc>
      </w:tr>
      <w:tr w14:paraId="3733D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9A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87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3D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68E31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FD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39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E1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6169D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3A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5F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D3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577CE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07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69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ED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0E6B8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74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53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AB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7F8FB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63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7C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77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16205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55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50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9D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466C02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AB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AD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76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3EB39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FA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64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A8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5268E7B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8C0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六、城乡建设（5项）</w:t>
            </w:r>
          </w:p>
        </w:tc>
      </w:tr>
      <w:tr w14:paraId="13AF0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53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2A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C5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7BFF7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E6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A9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0A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467D7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19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AC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BB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2F30E8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49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72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D8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006038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E6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C1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96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3C40BF92">
      <w:pPr>
        <w:pageBreakBefore w:val="0"/>
        <w:wordWrap/>
        <w:overflowPunct/>
        <w:topLinePunct w:val="0"/>
        <w:bidi w:val="0"/>
        <w:ind w:firstLine="0" w:firstLineChars="0"/>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8939">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70943DB">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70943DB">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274B8">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74A26"/>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1D5C8A"/>
    <w:rsid w:val="03AA1772"/>
    <w:rsid w:val="0BCD6AE0"/>
    <w:rsid w:val="0BDE0CED"/>
    <w:rsid w:val="0BE5112D"/>
    <w:rsid w:val="1045133B"/>
    <w:rsid w:val="11E45263"/>
    <w:rsid w:val="11E542FF"/>
    <w:rsid w:val="1DBD1F2D"/>
    <w:rsid w:val="23B10356"/>
    <w:rsid w:val="28133675"/>
    <w:rsid w:val="34FD776A"/>
    <w:rsid w:val="38A552C1"/>
    <w:rsid w:val="39CE564E"/>
    <w:rsid w:val="41B15F81"/>
    <w:rsid w:val="47626936"/>
    <w:rsid w:val="4D3F4621"/>
    <w:rsid w:val="51216FF1"/>
    <w:rsid w:val="52354064"/>
    <w:rsid w:val="54011E1C"/>
    <w:rsid w:val="547D1363"/>
    <w:rsid w:val="60C21BEB"/>
    <w:rsid w:val="692A0243"/>
    <w:rsid w:val="6D2A1A15"/>
    <w:rsid w:val="716342F2"/>
    <w:rsid w:val="7B7A0FC8"/>
    <w:rsid w:val="7BBE7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 w:type="character" w:customStyle="1" w:styleId="23">
    <w:name w:val="font7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84</Characters>
  <Lines>1</Lines>
  <Paragraphs>1</Paragraphs>
  <TotalTime>0</TotalTime>
  <ScaleCrop>false</ScaleCrop>
  <LinksUpToDate>false</LinksUpToDate>
  <CharactersWithSpaces>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2025-07-31T13:33:57Z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C3214EBE73234306B92DBB13DD23991E_12</vt:lpwstr>
  </property>
</Properties>
</file>