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FA043">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13</w:t>
      </w:r>
    </w:p>
    <w:p w14:paraId="246653AC">
      <w:pPr>
        <w:pStyle w:val="7"/>
        <w:jc w:val="left"/>
        <w:rPr>
          <w:rFonts w:ascii="方正公文小标宋" w:eastAsia="方正公文小标宋"/>
          <w:b w:val="0"/>
          <w:sz w:val="84"/>
          <w:szCs w:val="84"/>
          <w:lang w:eastAsia="zh-CN"/>
        </w:rPr>
      </w:pPr>
    </w:p>
    <w:p w14:paraId="305E39C6">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796EDB8F">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78D4590C">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重庆市丰都县包鸾镇履行职责事项清单</w:t>
      </w:r>
    </w:p>
    <w:p w14:paraId="3945E4E0">
      <w:pPr>
        <w:rPr>
          <w:rFonts w:ascii="方正公文小标宋" w:eastAsia="方正公文小标宋"/>
          <w:sz w:val="84"/>
          <w:szCs w:val="84"/>
          <w:lang w:eastAsia="zh-CN"/>
        </w:rPr>
      </w:pPr>
    </w:p>
    <w:p w14:paraId="386F8E4C">
      <w:pPr>
        <w:rPr>
          <w:rFonts w:ascii="方正公文小标宋" w:eastAsia="方正公文小标宋"/>
          <w:sz w:val="84"/>
          <w:szCs w:val="84"/>
          <w:lang w:eastAsia="zh-CN"/>
        </w:rPr>
      </w:pPr>
    </w:p>
    <w:p w14:paraId="5831F80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zh-CN" w:eastAsia="en-US"/>
        </w:rPr>
      </w:sdtEndPr>
      <w:sdtContent>
        <w:sdt>
          <w:sdtPr>
            <w:rPr>
              <w:rFonts w:ascii="宋体" w:hAnsi="宋体" w:eastAsia="宋体" w:cs="Arial"/>
              <w:snapToGrid w:val="0"/>
              <w:color w:val="000000"/>
              <w:kern w:val="0"/>
              <w:sz w:val="21"/>
              <w:szCs w:val="21"/>
              <w:lang w:val="en-US" w:eastAsia="en-US" w:bidi="ar-SA"/>
            </w:rPr>
            <w:id w:val="14747066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4E1E471">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5B851FBB">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_Toc1435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基本履职事项清单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9146C48">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_Toc8878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_Toc8878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14:paraId="1C146C62">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_Toc16516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上级部门收回事项清单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eastAsia="方正仿宋_GBK" w:cs="Times New Roman"/>
                  <w:color w:val="auto"/>
                  <w:spacing w:val="7"/>
                  <w:sz w:val="32"/>
                  <w:szCs w:val="32"/>
                  <w:lang w:val="en-US" w:eastAsia="zh-CN"/>
                </w:rPr>
                <w:t>9</w:t>
              </w:r>
            </w:p>
            <w:p w14:paraId="5FD72613">
              <w:pPr>
                <w:pStyle w:val="6"/>
                <w:numPr>
                  <w:ilvl w:val="0"/>
                  <w:numId w:val="0"/>
                </w:numPr>
                <w:ind w:leftChars="0"/>
                <w:rPr>
                  <w:rFonts w:hint="default" w:ascii="Times New Roman" w:hAnsi="Times New Roman"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sdtContent>
    </w:sdt>
    <w:p w14:paraId="39583A5E">
      <w:pPr>
        <w:pStyle w:val="7"/>
        <w:jc w:val="both"/>
        <w:rPr>
          <w:rFonts w:ascii="Times New Roman" w:hAnsi="Times New Roman" w:eastAsia="方正小标宋_GBK" w:cs="Times New Roman"/>
          <w:color w:val="auto"/>
          <w:spacing w:val="7"/>
          <w:sz w:val="44"/>
          <w:szCs w:val="44"/>
          <w:lang w:eastAsia="zh-CN"/>
        </w:rPr>
      </w:pPr>
    </w:p>
    <w:p w14:paraId="5921568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D706FD2">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bookmarkStart w:id="0" w:name="_Toc172077551"/>
      <w:bookmarkStart w:id="1" w:name="_Toc172533652"/>
      <w:bookmarkStart w:id="2" w:name="_Toc172077949"/>
      <w:bookmarkStart w:id="3" w:name="_Toc172077416"/>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8E3F75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8E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84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0C3FF4C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02B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4"/>
                <w:szCs w:val="24"/>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4"/>
                <w:szCs w:val="24"/>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4"/>
                <w:szCs w:val="24"/>
                <w:u w:val="none"/>
                <w:lang w:eastAsia="en-US" w:bidi="ar"/>
                <w14:textFill>
                  <w14:solidFill>
                    <w14:schemeClr w14:val="tx1"/>
                  </w14:solidFill>
                </w14:textFill>
              </w:rPr>
              <w:t>项）</w:t>
            </w:r>
          </w:p>
        </w:tc>
      </w:tr>
      <w:tr w14:paraId="3B0588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1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C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9CDE1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8C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1D1519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1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E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56F84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9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E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加强党员队伍建设，负责本镇党员的发展、教育、管理、监督和服务，做好党费收缴、使用和管理，开展党内关怀、党员激励工作。</w:t>
            </w:r>
          </w:p>
        </w:tc>
      </w:tr>
      <w:tr w14:paraId="5405F7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按照干部管理权限，负责本镇机关、事业单位干部的选拔、教育、管理、培训、考核、奖励、监督等工作，开展各类评优评先推荐上报。</w:t>
            </w:r>
          </w:p>
        </w:tc>
      </w:tr>
      <w:tr w14:paraId="6A7E72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C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1A87E4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7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4623AF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FA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D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4006A3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00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8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负责本镇数字重庆建设工作，推进</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141</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基层智治体系建设。</w:t>
            </w:r>
          </w:p>
        </w:tc>
      </w:tr>
      <w:tr w14:paraId="6FB5F8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1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E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44DFF0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44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7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2408A5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C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D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429DD2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4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8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6B2541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EB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1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07132C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1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72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58848D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C7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02DA07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52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0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656750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E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2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5995D0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8B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5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2FB79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D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6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0412B3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D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C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016D9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32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5422C0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39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B8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18F4962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2FB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10</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53B51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0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0AE97E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6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F5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578BBA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7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1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6784DC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C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07D225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DE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60F39A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1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51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5FE165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3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52144C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0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A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34B4A0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6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1CE81F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36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1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4862112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6C4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3D80CC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2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A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41CBAE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F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70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035E1D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7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7FE319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0C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3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758B34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11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3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2847FC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5C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3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5EBAEB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A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6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E854A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C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39F6E7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27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B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615744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A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333590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D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E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6D09B4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3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9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4B5412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E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6348DF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5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3B905A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3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1E0516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CC1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281C0B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8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SA"/>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E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624658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F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SA"/>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5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398AED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31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7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0A4DE2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40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A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BBB5F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0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7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3DB21C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5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1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565993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D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5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4AD5D9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DE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0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08EAF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A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8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5EB52C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6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FE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36730B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6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B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38C39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9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10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249CAE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B9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4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3CD280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92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59031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E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A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20699D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1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F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733FAF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C82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7DDA4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7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F7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584014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3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5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69487C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6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8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796C50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5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8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371676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A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42BB84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CD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48F39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2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1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2EECCA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B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E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416AF7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AA0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401C10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4B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7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0462C7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9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0C5F0C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A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落实长江流域禁捕水域网格化管理责任，开展禁捕政策宣传、规范垂钓行为、日常巡查及违法违规线索上报等工作。</w:t>
            </w:r>
          </w:p>
        </w:tc>
      </w:tr>
      <w:tr w14:paraId="63B32C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DE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7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430501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0FD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7CDD2D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4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7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2E6AA4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A7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E3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4D9A30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2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8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435CEF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3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EC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Style w:val="22"/>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613BF2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C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7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36F7DE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09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5B0AD18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8C2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八、文化和旅游（2项）</w:t>
            </w:r>
          </w:p>
        </w:tc>
      </w:tr>
      <w:tr w14:paraId="2665CC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7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0A34FF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4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挖掘开发辖区内红色旅游资源，打造具有包鸾辨识度的农耕文化、红色文化旅游品牌。</w:t>
            </w:r>
          </w:p>
        </w:tc>
      </w:tr>
      <w:tr w14:paraId="1BC99B5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A6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B5E32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46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446C75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D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9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62CEBC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7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负责政府信息公开工作。</w:t>
            </w:r>
          </w:p>
        </w:tc>
      </w:tr>
      <w:tr w14:paraId="50E7C1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27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97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2DAC97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B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5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17613D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9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1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1ABA94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A5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463B7E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B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B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4EBDAA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D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F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1B86FDEF">
      <w:pPr>
        <w:pStyle w:val="2"/>
        <w:spacing w:before="0" w:after="0" w:line="240" w:lineRule="auto"/>
        <w:jc w:val="center"/>
        <w:rPr>
          <w:rFonts w:hint="eastAsia" w:ascii="方正小标宋_GBK" w:hAnsi="方正小标宋_GBK" w:eastAsia="方正小标宋_GBK" w:cs="方正小标宋_GBK"/>
          <w:color w:val="auto"/>
          <w:sz w:val="44"/>
          <w:szCs w:val="44"/>
          <w:lang w:eastAsia="zh-CN" w:bidi="ar"/>
        </w:rPr>
      </w:pPr>
      <w:r>
        <w:rPr>
          <w:rFonts w:ascii="Times New Roman" w:hAnsi="Times New Roman" w:eastAsia="方正小标宋_GBK" w:cs="Times New Roman"/>
          <w:color w:val="auto"/>
          <w:sz w:val="21"/>
          <w:szCs w:val="21"/>
          <w:lang w:eastAsia="zh-CN" w:bidi="ar"/>
        </w:rPr>
        <w:br w:type="page"/>
      </w:r>
      <w:bookmarkStart w:id="4" w:name="_Toc172077552"/>
      <w:bookmarkStart w:id="5" w:name="_Toc172077950"/>
      <w:bookmarkStart w:id="6" w:name="_Toc172077417"/>
      <w:bookmarkStart w:id="7" w:name="_Toc172533653"/>
      <w:r>
        <w:rPr>
          <w:rFonts w:hint="eastAsia" w:ascii="方正小标宋_GBK" w:hAnsi="方正小标宋_GBK" w:eastAsia="方正小标宋_GBK" w:cs="方正小标宋_GBK"/>
          <w:b w:val="0"/>
          <w:sz w:val="44"/>
          <w:szCs w:val="44"/>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B27B32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6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1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B6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49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D3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7318F3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88A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4AF166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7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56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3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县统计局</w:t>
            </w:r>
          </w:p>
          <w:p w14:paraId="1947ED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5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县统计局：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3.负责统计调查培训。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国家统计局丰都调查队：</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8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30B3B5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F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44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7EDDC0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6A082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21A758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62CF6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7230F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18083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9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7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3A6019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5A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38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0F559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3EDF8C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06BAC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4EB19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059DD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C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县税务局：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9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333AE2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2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7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B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E9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56F054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E8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C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C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73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2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0BD523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09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3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3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77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2.设置农业病虫害监测点。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0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1.开展农业病虫害宣传。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04C561A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226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465C24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9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0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2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p>
          <w:p w14:paraId="704C44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p w14:paraId="2561B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243C2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县司法局
</w:t>
            </w:r>
          </w:p>
          <w:p w14:paraId="422FD2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8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县司法局：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相关行业主管部门：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7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3.协助调解辖区内欠薪纠纷。</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13A2BF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B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FE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D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2.指导乡镇（街道）申报流程。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4.定期核查补贴申领情况。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5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25170E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8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8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p>
          <w:p w14:paraId="199A5D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6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3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2C27F4C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C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3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4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5BD2BD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县司法局
</w:t>
            </w:r>
          </w:p>
          <w:p w14:paraId="7E3A3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
</w:t>
            </w:r>
          </w:p>
          <w:p w14:paraId="0A303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县妇联
</w:t>
            </w:r>
          </w:p>
          <w:p w14:paraId="56525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3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县司法局：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县妇联：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县残联：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F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27FBB16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A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82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C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
</w:t>
            </w:r>
          </w:p>
          <w:p w14:paraId="2D9404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0A6B5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20CA0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73A7B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10F16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B08C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p w14:paraId="314D9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9A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县规划自然资源局：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县信访办：</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06C832A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C2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7B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D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03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31304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4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A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B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9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1F58807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4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7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B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
</w:t>
            </w:r>
          </w:p>
          <w:p w14:paraId="63C688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21CC3F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 xml:space="preserve">县财政局
 </w:t>
            </w:r>
          </w:p>
          <w:p w14:paraId="247C6C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5F3CC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6B1CD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3125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53D6F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县金融服务中心</w:t>
            </w:r>
          </w:p>
          <w:p w14:paraId="48B1C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县财政局：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县金融服务中心：</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F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7C7DFD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2A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29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2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07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2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230535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4C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1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公</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2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C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9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022B61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C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6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7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3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8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18B728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C7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4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7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0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F5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3EE698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D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71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3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EE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4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033F50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A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18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A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E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2.负责应急广播系统的升级。</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3.负责应急广播设备的修理。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1A1CCB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FF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1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F3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E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81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4C634A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0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71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无偿献血、遗体和</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5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65337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县红十字会：</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C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661662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3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8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C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1BBBC9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p w14:paraId="69187E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027D1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5883A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340E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D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05CC003F">
        <w:tblPrEx>
          <w:tblCellMar>
            <w:top w:w="0" w:type="dxa"/>
            <w:left w:w="108" w:type="dxa"/>
            <w:bottom w:w="0" w:type="dxa"/>
            <w:right w:w="108" w:type="dxa"/>
          </w:tblCellMar>
        </w:tblPrEx>
        <w:trPr>
          <w:trHeight w:val="28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0C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1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优</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1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3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cs="方正仿宋_GBK"/>
                <w:b w:val="0"/>
                <w:bCs w:val="0"/>
                <w:snapToGrid w:val="0"/>
                <w:color w:val="000000" w:themeColor="text1"/>
                <w:kern w:val="0"/>
                <w:sz w:val="21"/>
                <w:szCs w:val="21"/>
                <w:lang w:val="en-US" w:eastAsia="zh-CN" w:bidi="ar"/>
                <w14:textFill>
                  <w14:solidFill>
                    <w14:schemeClr w14:val="tx1"/>
                  </w14:solidFill>
                </w14:textFill>
              </w:rPr>
              <w:t>1</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.做好确认政策宣传和前来办理确认服务对象的接待、确认工作。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cs="方正仿宋_GBK"/>
                <w:b w:val="0"/>
                <w:bCs w:val="0"/>
                <w:snapToGrid w:val="0"/>
                <w:color w:val="000000" w:themeColor="text1"/>
                <w:kern w:val="0"/>
                <w:sz w:val="21"/>
                <w:szCs w:val="21"/>
                <w:lang w:val="en-US" w:eastAsia="zh-CN" w:bidi="ar"/>
                <w14:textFill>
                  <w14:solidFill>
                    <w14:schemeClr w14:val="tx1"/>
                  </w14:solidFill>
                </w14:textFill>
              </w:rPr>
              <w:t>2</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.对行动不便的优抚对象开展上门确认。</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cs="方正仿宋_GBK"/>
                <w:b w:val="0"/>
                <w:bCs w:val="0"/>
                <w:snapToGrid w:val="0"/>
                <w:color w:val="000000" w:themeColor="text1"/>
                <w:kern w:val="0"/>
                <w:sz w:val="21"/>
                <w:szCs w:val="21"/>
                <w:lang w:val="en-US" w:eastAsia="zh-CN" w:bidi="ar"/>
                <w14:textFill>
                  <w14:solidFill>
                    <w14:schemeClr w14:val="tx1"/>
                  </w14:solidFill>
                </w14:textFill>
              </w:rPr>
              <w:t>3</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.对在国（境）外或非户籍地生活，以及不方便接收服务站工作人员年度确认的，指导优抚对象线上资助确认。</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cs="方正仿宋_GBK"/>
                <w:b w:val="0"/>
                <w:bCs w:val="0"/>
                <w:snapToGrid w:val="0"/>
                <w:color w:val="000000" w:themeColor="text1"/>
                <w:kern w:val="0"/>
                <w:sz w:val="21"/>
                <w:szCs w:val="21"/>
                <w:lang w:val="en-US" w:eastAsia="zh-CN" w:bidi="ar"/>
                <w14:textFill>
                  <w14:solidFill>
                    <w14:schemeClr w14:val="tx1"/>
                  </w14:solidFill>
                </w14:textFill>
              </w:rPr>
              <w:t>4</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.上报优抚对象服刑、死亡、考公等影响优抚待遇发放的情况。</w:t>
            </w:r>
          </w:p>
        </w:tc>
      </w:tr>
      <w:tr w14:paraId="14395B81">
        <w:tblPrEx>
          <w:tblCellMar>
            <w:top w:w="0" w:type="dxa"/>
            <w:left w:w="108" w:type="dxa"/>
            <w:bottom w:w="0" w:type="dxa"/>
            <w:right w:w="108" w:type="dxa"/>
          </w:tblCellMar>
        </w:tblPrEx>
        <w:trPr>
          <w:trHeight w:val="50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7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B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A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县退役军人事务局</w:t>
            </w:r>
          </w:p>
          <w:p w14:paraId="58921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县财政局
</w:t>
            </w:r>
          </w:p>
          <w:p w14:paraId="17B86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13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县退役军人事务局：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县财政局：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县委办公室（县档案局）：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F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cs="方正仿宋_GBK"/>
                <w:b w:val="0"/>
                <w:bCs w:val="0"/>
                <w:snapToGrid w:val="0"/>
                <w:color w:val="000000" w:themeColor="text1"/>
                <w:kern w:val="0"/>
                <w:sz w:val="21"/>
                <w:szCs w:val="21"/>
                <w:lang w:val="en-US" w:eastAsia="zh-CN" w:bidi="ar"/>
                <w14:textFill>
                  <w14:solidFill>
                    <w14:schemeClr w14:val="tx1"/>
                  </w14:solidFill>
                </w14:textFill>
              </w:rPr>
              <w:t>2</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.组织开展烈士遗物、史料等的收集、上报。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3.做好英烈事迹的宣讲。</w:t>
            </w:r>
          </w:p>
        </w:tc>
      </w:tr>
      <w:tr w14:paraId="6C37619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C90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658A74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EE9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30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
</w:t>
            </w:r>
          </w:p>
          <w:p w14:paraId="5B80D2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
</w:t>
            </w:r>
          </w:p>
          <w:p w14:paraId="4369E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33211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p w14:paraId="560C3D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35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bookmarkStart w:id="12" w:name="_GoBack"/>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3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1.开展“扫黄打非”政策宣传。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E0AB5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ED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4D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县委办公室
</w:t>
            </w:r>
          </w:p>
          <w:p w14:paraId="553AF9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县政府办公室</w:t>
            </w:r>
          </w:p>
          <w:p w14:paraId="0E9430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
</w:t>
            </w:r>
          </w:p>
          <w:p w14:paraId="27A20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
</w:t>
            </w:r>
          </w:p>
          <w:p w14:paraId="794993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01273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281B6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61874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F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县委办公室、县政府办公室：</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4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3.上报突发事件情况。</w:t>
            </w:r>
          </w:p>
        </w:tc>
      </w:tr>
      <w:tr w14:paraId="3053E4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68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AA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大型活动和重要</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3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
</w:t>
            </w:r>
          </w:p>
          <w:p w14:paraId="58535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57D46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73F33D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6CC4E8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30973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4CB147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CD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7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1552ECF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07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0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9F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
</w:t>
            </w:r>
          </w:p>
          <w:p w14:paraId="4DF72D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3A6E3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61D797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629E8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p w14:paraId="328F4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2D32E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5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0E23EE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14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B0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校</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8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4783F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55DF1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7E033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295A9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59FC45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p w14:paraId="05E50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53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62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0965CE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3C3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A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D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05C74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1D052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43F05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F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1.开展预防溺水宣传教育。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县水利局：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A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209129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A5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F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3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0B344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5.制定应急物资储备和应急救援装备规划并组织实施。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3B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2.指导村（社区）制定应急预案，建立健全乡镇（街道）应急预案体系。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3.负责组建本乡镇（街道）及村（社区）抢险救援力量，组织参加上级业务培训和本级业务培训，组织开展日常演练，做好人防、物防、技防等准备工作。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1285453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02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B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79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9795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C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7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1.组织开展安全生产知识普及，按照乡镇（街道）综合应急预案组织开展演练。</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63C4E8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9D2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5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9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2A32E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6A9782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1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267DA4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03B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50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7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
</w:t>
            </w:r>
          </w:p>
          <w:p w14:paraId="51E18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A021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517EE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县气象局
</w:t>
            </w:r>
          </w:p>
          <w:p w14:paraId="26FD0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2C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spacing w:val="-11"/>
                <w:kern w:val="0"/>
                <w:sz w:val="21"/>
                <w:szCs w:val="21"/>
                <w:lang w:eastAsia="en-US" w:bidi="ar"/>
                <w14:textFill>
                  <w14:solidFill>
                    <w14:schemeClr w14:val="tx1"/>
                  </w14:solidFill>
                </w14:textFill>
              </w:rPr>
              <w:t>1.加强森林防灭火物资装备配备，并定期补充、更新。</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县气象局：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4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1.开展本乡镇（街道）森林防火和农村野外用火安全宣传教育。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72B9EE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D2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28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5DEB8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
</w:t>
            </w:r>
          </w:p>
          <w:p w14:paraId="17874D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2274E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6D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74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2.做好社区防控工作。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val="en-US" w:eastAsia="zh-CN" w:bidi="ar"/>
                <w14:textFill>
                  <w14:solidFill>
                    <w14:schemeClr w14:val="tx1"/>
                  </w14:solidFill>
                </w14:textFill>
              </w:rPr>
              <w:t>4</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val="en-US" w:eastAsia="zh-CN" w:bidi="ar"/>
                <w14:textFill>
                  <w14:solidFill>
                    <w14:schemeClr w14:val="tx1"/>
                  </w14:solidFill>
                </w14:textFill>
              </w:rPr>
              <w:t>5</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537A42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34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7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8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76446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2D1AB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97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2.负责食品快检工作的指导。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1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4925D1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C0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5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89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456FC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443940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3AC517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14AA8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73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DE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497A61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B9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D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2C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4511C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70B50E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56E6D0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2399DD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D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39E569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78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A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E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58BB60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
</w:t>
            </w:r>
          </w:p>
          <w:p w14:paraId="29B6C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33BFDB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08EF1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10273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县供销社
</w:t>
            </w:r>
          </w:p>
          <w:p w14:paraId="452F4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5D00F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3698E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10CE0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县信访办
</w:t>
            </w:r>
          </w:p>
          <w:p w14:paraId="23235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365A6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A6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2.负责网络舆情应对。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县供销社：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县信访办：</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1.负责灭火救援并调查原因。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2.禁放区域划定。</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5C280DC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AF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5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6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224E4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p>
          <w:p w14:paraId="7078F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1C5ED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p w14:paraId="55936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43C1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2F8F2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6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2.低速电动车赋码编号。</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加强清理整顿和常态检查。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1.依法查处违规生产行为。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2.加强流通领域监督检查。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3.加强销售门店宣传引导。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严禁违规准入和新增产能。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2.依法查处非法营运行为。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C5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133C5E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F6B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1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6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5B0CF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县委组织部
</w:t>
            </w:r>
          </w:p>
          <w:p w14:paraId="3BCB7F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1F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县委组织部：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8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06822F14">
        <w:tblPrEx>
          <w:tblCellMar>
            <w:top w:w="0" w:type="dxa"/>
            <w:left w:w="108" w:type="dxa"/>
            <w:bottom w:w="0" w:type="dxa"/>
            <w:right w:w="108" w:type="dxa"/>
          </w:tblCellMar>
        </w:tblPrEx>
        <w:trPr>
          <w:trHeight w:val="41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CE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B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2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p>
          <w:p w14:paraId="5A96C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A834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5E199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0E6B6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629959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594F7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BF9E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9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6.查处燃气违法行为。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94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26F77F0">
        <w:tblPrEx>
          <w:tblCellMar>
            <w:top w:w="0" w:type="dxa"/>
            <w:left w:w="108" w:type="dxa"/>
            <w:bottom w:w="0" w:type="dxa"/>
            <w:right w:w="108" w:type="dxa"/>
          </w:tblCellMar>
        </w:tblPrEx>
        <w:trPr>
          <w:trHeight w:val="20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EE1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03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F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E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1.开展调查评估。</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2.开展接收，落实日常监管。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E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131FAAD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D1D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四、乡村振兴（4项）</w:t>
            </w:r>
          </w:p>
        </w:tc>
      </w:tr>
      <w:tr w14:paraId="699416D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D1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81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3D4432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C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2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3.配合完成风险监测和监督抽查任务，对本乡镇（街道）地产农产品开展快速检测或督促种植（养殖）生产主体开展快速检测。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7BA1E13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4B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F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DA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6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D8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3.开展种植业技术入户培训。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491BDE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EE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0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1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6D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2.开展项目选址及规划设计。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4.组织竣工验收。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A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1.开展项目申报。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2.参与项目选址及规划设计。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3.开展矛盾纠纷问题调解。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4.做好建后管护工作。</w:t>
            </w:r>
          </w:p>
        </w:tc>
      </w:tr>
      <w:tr w14:paraId="435823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63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5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县委组织部
</w:t>
            </w:r>
          </w:p>
          <w:p w14:paraId="03AB28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1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县委组织部：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1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4C87F3D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769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五、生态环保（8项）</w:t>
            </w:r>
          </w:p>
        </w:tc>
      </w:tr>
      <w:tr w14:paraId="333265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302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2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9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02867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44EEB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0875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48CFF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506B32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E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2.负责城市道路扬尘防治。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F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1DC27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D0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2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7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4E4C57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4F8D1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0ABA83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5A9215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5F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县水利局：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5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1.开展辖区水环境保护宣传。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24DB16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8F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4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AB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0BDD6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10697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08A0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6D677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p w14:paraId="64656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3A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0FAD52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27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5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5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66BCF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7C539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7043C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58B70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65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8.牵头负责“无废城市”建设。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县规划自然资源局：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A4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5.开展农膜回收利用工作。</w:t>
            </w:r>
          </w:p>
        </w:tc>
      </w:tr>
      <w:tr w14:paraId="7BF794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855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D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54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0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BF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3.开展环境应急演练。</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6606CC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E1E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39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4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A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0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08DBB1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7B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3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69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D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61D417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901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A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4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A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57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63EDCB7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805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六、城乡建设（6项）</w:t>
            </w:r>
          </w:p>
        </w:tc>
      </w:tr>
      <w:tr w14:paraId="72C634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3BC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C4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8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4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1.审核申请人家庭住房状况。</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F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11C148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E1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D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2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8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25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44ABD9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C89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3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A2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2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0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1.开展征收摸底调查。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2.开展征收补偿政策宣传。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3.协助无证建筑的调查认定。</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4.开展思想动员和促征工作。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5.指导签订征收补偿协议。</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0BCC8E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A2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91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A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54B340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p>
          <w:p w14:paraId="3B2FA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765AD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65BD0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县规划自然资源局：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县级其他部门：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01AA74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882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C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4359F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07662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
</w:t>
            </w:r>
          </w:p>
          <w:p w14:paraId="3BF28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11729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负有卫片图斑整</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8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各行业主管部门：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A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2202D5D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E88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0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p>
          <w:p w14:paraId="79437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6E0A9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08B7E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54E73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0204E1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0DA38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8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县规划自然资源局：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1.开展宣传培训。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4.落实举报投诉奖励制度。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8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67B80AB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0C6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047859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133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4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2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C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1.协调全县重大电影活动。</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4C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1.组织人员观看惠民电影。</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2.提供场地电源等保障服务。</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3.维护现场秩序。</w:t>
            </w:r>
          </w:p>
        </w:tc>
      </w:tr>
      <w:tr w14:paraId="19911E6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C2A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E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D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9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6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br w:type="textWrapping"/>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5E5766A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38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71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D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77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0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6AC6A7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6B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7B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B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5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A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2B8C31D3">
      <w:pPr>
        <w:pStyle w:val="2"/>
        <w:spacing w:before="0" w:after="0" w:line="240" w:lineRule="auto"/>
        <w:jc w:val="center"/>
        <w:rPr>
          <w:rFonts w:ascii="Times New Roman" w:hAnsi="Times New Roman" w:eastAsia="方正小标宋_GBK" w:cs="Times New Roman"/>
          <w:color w:val="auto"/>
          <w:spacing w:val="7"/>
          <w:sz w:val="21"/>
          <w:szCs w:val="21"/>
          <w:lang w:eastAsia="zh-CN"/>
        </w:rPr>
      </w:pPr>
      <w:r>
        <w:rPr>
          <w:rFonts w:ascii="Times New Roman" w:hAnsi="Times New Roman" w:eastAsia="方正小标宋_GBK" w:cs="Times New Roman"/>
          <w:color w:val="auto"/>
          <w:spacing w:val="7"/>
          <w:sz w:val="21"/>
          <w:szCs w:val="21"/>
          <w:lang w:eastAsia="zh-CN"/>
        </w:rPr>
        <w:br w:type="page"/>
      </w:r>
      <w:bookmarkStart w:id="8" w:name="_Toc172077951"/>
      <w:bookmarkStart w:id="9" w:name="_Toc172533654"/>
      <w:bookmarkStart w:id="10" w:name="_Toc172077418"/>
      <w:bookmarkStart w:id="11" w:name="_Toc172077553"/>
      <w:r>
        <w:rPr>
          <w:rFonts w:hint="eastAsia" w:ascii="方正小标宋_GBK" w:hAnsi="方正小标宋_GBK" w:eastAsia="方正小标宋_GBK" w:cs="方正小标宋_GBK"/>
          <w:b w:val="0"/>
          <w:sz w:val="44"/>
          <w:szCs w:val="44"/>
          <w:lang w:eastAsia="zh-CN"/>
        </w:rPr>
        <w:t>上级部门收回事项清单</w:t>
      </w:r>
      <w:bookmarkEnd w:id="8"/>
      <w:bookmarkEnd w:id="9"/>
      <w:bookmarkEnd w:id="10"/>
      <w:bookmarkEnd w:id="11"/>
    </w:p>
    <w:p w14:paraId="67571B79">
      <w:pPr>
        <w:pStyle w:val="2"/>
        <w:spacing w:before="0" w:after="0" w:line="240" w:lineRule="auto"/>
        <w:jc w:val="center"/>
        <w:rPr>
          <w:rFonts w:ascii="Times New Roman" w:hAnsi="Times New Roman" w:eastAsia="方正小标宋_GBK" w:cs="Times New Roman"/>
          <w:color w:val="auto"/>
          <w:spacing w:val="7"/>
          <w:sz w:val="21"/>
          <w:szCs w:val="21"/>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086695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5D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4F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AC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0801EA2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E82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4C123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3F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6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4.推广防治技术。</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5D0BD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CB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3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AB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421B8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9B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F5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55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279FD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5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9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5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1.发布水产相关信息。</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54053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B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1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F7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1.实行分片区检疫。</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31157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C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AF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242B9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A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2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40CFF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BD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F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9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588B2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县生态环境局：</w:t>
            </w:r>
          </w:p>
          <w:p w14:paraId="67A4E5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32BB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00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4.召开农机安全工作会议。</w:t>
            </w:r>
          </w:p>
        </w:tc>
      </w:tr>
      <w:tr w14:paraId="533E7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09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1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工作方式：负责渔业船舶登记审批工作。</w:t>
            </w:r>
          </w:p>
        </w:tc>
      </w:tr>
      <w:tr w14:paraId="41DA0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A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6F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72B37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1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E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6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4264A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F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93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D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承接部门：县水利局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10D1A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E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54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4E34146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002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7F22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46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9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5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承接部门：县民政局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471CD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2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6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E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531AF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AB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93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F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56350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E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44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3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31FE6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8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4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D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承接部门：县卫生健康委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负责发放避孕药具。</w:t>
            </w:r>
          </w:p>
        </w:tc>
      </w:tr>
      <w:tr w14:paraId="20B9D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9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F4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4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承接部门：县卫生健康委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3B7E1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4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BE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4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承接部门：县人力社保局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E9E0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0A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0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C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承接部门：县人力社保局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09E94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D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19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8F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承接部门：县人力社保局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55148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D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C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1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承接部门：县医保局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7F3D9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7A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8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A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承接部门：县医保局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395A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F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5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承接部门：县医保局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5E88E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67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5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9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承接部门：县文化旅游委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5EBF9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9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承接部门：县人力社保局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360405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511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7</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CFE3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D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66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774B9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6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DB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74E55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8B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2B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C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77747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A9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E2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1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35B7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0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99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79DE0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5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B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3C0F2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9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C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9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47327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1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93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2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承接部门：县公安局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4C276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8D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C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3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承接部门：县卫生健康委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6710A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7D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8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0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承接部门：县民政局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7BE0C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8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1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B8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承接部门：县司法局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64550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C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5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承接部门：县消防救援局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4581F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4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07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7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承接部门：县消防救援局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1.协调选址建设微型消防站。</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41A98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A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1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05736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0C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承接部门：县文化旅游委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21BEE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32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9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09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承接部门：县文化旅游委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EE26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01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5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5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74533A1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5EC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四、乡村振兴（1项）</w:t>
            </w:r>
          </w:p>
        </w:tc>
      </w:tr>
      <w:tr w14:paraId="4B084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0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F6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3A39E77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4D4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五、生态环保（9项）</w:t>
            </w:r>
          </w:p>
        </w:tc>
      </w:tr>
      <w:tr w14:paraId="382B9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13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16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F1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承接部门：县生态环境局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3A6E8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CF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D5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7A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承接部门：县生态环境局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5BEC2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6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4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承接部门：县生态环境局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815A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6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7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E6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承接部门：县水利局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工作方式：对非法采砂行为开展巡查与整改。</w:t>
            </w:r>
          </w:p>
        </w:tc>
      </w:tr>
      <w:tr w14:paraId="6660A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92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D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F8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承接部门：县水利局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E271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A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7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承接部门：县林业局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596E4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B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7B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5D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承接部门：县林业局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1.负责受理林木采伐申请。</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4.负责林木采伐监管。</w:t>
            </w:r>
          </w:p>
        </w:tc>
      </w:tr>
      <w:tr w14:paraId="7850C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97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A3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F4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承接部门：县林业局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1.负责监测林业有害生物。</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2.负责检疫林业有害生物。</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5C224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7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8097C6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85B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2D20C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6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71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BC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2D5EE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DA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F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D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承接部门：县住房城乡建委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2390E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9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C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9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承接部门：县住房城乡建委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02D07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F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B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F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承接部门：县住房城乡建委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76D51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4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9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D8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承接部门：县住房城乡建委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480F6A0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348E">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B54546">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B54546">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1335">
    <w:pPr>
      <w:pStyle w:val="4"/>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43F80">
                          <w:pPr>
                            <w:pStyle w:val="4"/>
                            <w:jc w:val="center"/>
                            <w:rPr>
                              <w:rFonts w:hint="default" w:ascii="方正仿宋简体" w:hAnsi="方正仿宋简体" w:eastAsia="方正仿宋简体" w:cs="方正仿宋简体"/>
                              <w:sz w:val="24"/>
                              <w:szCs w:val="24"/>
                            </w:rPr>
                          </w:pPr>
                          <w:r>
                            <w:rPr>
                              <w:rFonts w:hint="default" w:ascii="方正仿宋简体" w:hAnsi="方正仿宋简体" w:eastAsia="方正仿宋简体" w:cs="方正仿宋简体"/>
                              <w:sz w:val="24"/>
                              <w:szCs w:val="24"/>
                            </w:rPr>
                            <w:t xml:space="preserve">第 </w:t>
                          </w:r>
                          <w:r>
                            <w:rPr>
                              <w:rFonts w:hint="default" w:ascii="方正仿宋简体" w:hAnsi="方正仿宋简体" w:eastAsia="方正仿宋简体" w:cs="方正仿宋简体"/>
                              <w:sz w:val="24"/>
                              <w:szCs w:val="24"/>
                            </w:rPr>
                            <w:fldChar w:fldCharType="begin"/>
                          </w:r>
                          <w:r>
                            <w:rPr>
                              <w:rFonts w:hint="default" w:ascii="方正仿宋简体" w:hAnsi="方正仿宋简体" w:eastAsia="方正仿宋简体" w:cs="方正仿宋简体"/>
                              <w:sz w:val="24"/>
                              <w:szCs w:val="24"/>
                            </w:rPr>
                            <w:instrText xml:space="preserve"> PAGE  \* MERGEFORMAT </w:instrText>
                          </w:r>
                          <w:r>
                            <w:rPr>
                              <w:rFonts w:hint="default" w:ascii="方正仿宋简体" w:hAnsi="方正仿宋简体" w:eastAsia="方正仿宋简体" w:cs="方正仿宋简体"/>
                              <w:sz w:val="24"/>
                              <w:szCs w:val="24"/>
                            </w:rPr>
                            <w:fldChar w:fldCharType="separate"/>
                          </w:r>
                          <w:r>
                            <w:rPr>
                              <w:rFonts w:hint="default" w:ascii="方正仿宋简体" w:hAnsi="方正仿宋简体" w:eastAsia="方正仿宋简体" w:cs="方正仿宋简体"/>
                              <w:sz w:val="24"/>
                              <w:szCs w:val="24"/>
                            </w:rPr>
                            <w:t>1</w:t>
                          </w:r>
                          <w:r>
                            <w:rPr>
                              <w:rFonts w:hint="default" w:ascii="方正仿宋简体" w:hAnsi="方正仿宋简体" w:eastAsia="方正仿宋简体" w:cs="方正仿宋简体"/>
                              <w:sz w:val="24"/>
                              <w:szCs w:val="24"/>
                            </w:rPr>
                            <w:fldChar w:fldCharType="end"/>
                          </w:r>
                          <w:r>
                            <w:rPr>
                              <w:rFonts w:hint="default"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343F80">
                    <w:pPr>
                      <w:pStyle w:val="4"/>
                      <w:jc w:val="center"/>
                      <w:rPr>
                        <w:rFonts w:hint="default" w:ascii="方正仿宋简体" w:hAnsi="方正仿宋简体" w:eastAsia="方正仿宋简体" w:cs="方正仿宋简体"/>
                        <w:sz w:val="24"/>
                        <w:szCs w:val="24"/>
                      </w:rPr>
                    </w:pPr>
                    <w:r>
                      <w:rPr>
                        <w:rFonts w:hint="default" w:ascii="方正仿宋简体" w:hAnsi="方正仿宋简体" w:eastAsia="方正仿宋简体" w:cs="方正仿宋简体"/>
                        <w:sz w:val="24"/>
                        <w:szCs w:val="24"/>
                      </w:rPr>
                      <w:t xml:space="preserve">第 </w:t>
                    </w:r>
                    <w:r>
                      <w:rPr>
                        <w:rFonts w:hint="default" w:ascii="方正仿宋简体" w:hAnsi="方正仿宋简体" w:eastAsia="方正仿宋简体" w:cs="方正仿宋简体"/>
                        <w:sz w:val="24"/>
                        <w:szCs w:val="24"/>
                      </w:rPr>
                      <w:fldChar w:fldCharType="begin"/>
                    </w:r>
                    <w:r>
                      <w:rPr>
                        <w:rFonts w:hint="default" w:ascii="方正仿宋简体" w:hAnsi="方正仿宋简体" w:eastAsia="方正仿宋简体" w:cs="方正仿宋简体"/>
                        <w:sz w:val="24"/>
                        <w:szCs w:val="24"/>
                      </w:rPr>
                      <w:instrText xml:space="preserve"> PAGE  \* MERGEFORMAT </w:instrText>
                    </w:r>
                    <w:r>
                      <w:rPr>
                        <w:rFonts w:hint="default" w:ascii="方正仿宋简体" w:hAnsi="方正仿宋简体" w:eastAsia="方正仿宋简体" w:cs="方正仿宋简体"/>
                        <w:sz w:val="24"/>
                        <w:szCs w:val="24"/>
                      </w:rPr>
                      <w:fldChar w:fldCharType="separate"/>
                    </w:r>
                    <w:r>
                      <w:rPr>
                        <w:rFonts w:hint="default" w:ascii="方正仿宋简体" w:hAnsi="方正仿宋简体" w:eastAsia="方正仿宋简体" w:cs="方正仿宋简体"/>
                        <w:sz w:val="24"/>
                        <w:szCs w:val="24"/>
                      </w:rPr>
                      <w:t>1</w:t>
                    </w:r>
                    <w:r>
                      <w:rPr>
                        <w:rFonts w:hint="default" w:ascii="方正仿宋简体" w:hAnsi="方正仿宋简体" w:eastAsia="方正仿宋简体" w:cs="方正仿宋简体"/>
                        <w:sz w:val="24"/>
                        <w:szCs w:val="24"/>
                      </w:rPr>
                      <w:fldChar w:fldCharType="end"/>
                    </w:r>
                    <w:r>
                      <w:rPr>
                        <w:rFonts w:hint="default"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A13B3"/>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C10E79"/>
    <w:rsid w:val="04563431"/>
    <w:rsid w:val="056C5A14"/>
    <w:rsid w:val="089332B7"/>
    <w:rsid w:val="0A2A6588"/>
    <w:rsid w:val="0A3D797F"/>
    <w:rsid w:val="0CC872A8"/>
    <w:rsid w:val="0E2E06BE"/>
    <w:rsid w:val="0FC621C4"/>
    <w:rsid w:val="141F31F1"/>
    <w:rsid w:val="14C03686"/>
    <w:rsid w:val="17263548"/>
    <w:rsid w:val="18414ADE"/>
    <w:rsid w:val="187953F6"/>
    <w:rsid w:val="19F3005A"/>
    <w:rsid w:val="1A831567"/>
    <w:rsid w:val="1B281F85"/>
    <w:rsid w:val="1D464944"/>
    <w:rsid w:val="1D8E70F9"/>
    <w:rsid w:val="1EFD7285"/>
    <w:rsid w:val="205C7FDB"/>
    <w:rsid w:val="20BC24F0"/>
    <w:rsid w:val="212E1977"/>
    <w:rsid w:val="21707183"/>
    <w:rsid w:val="23134E71"/>
    <w:rsid w:val="24BA50F9"/>
    <w:rsid w:val="25457290"/>
    <w:rsid w:val="25F80363"/>
    <w:rsid w:val="282D2989"/>
    <w:rsid w:val="2A1D2BF3"/>
    <w:rsid w:val="2D391DD0"/>
    <w:rsid w:val="2E3A5DFF"/>
    <w:rsid w:val="2EB353C4"/>
    <w:rsid w:val="351866E6"/>
    <w:rsid w:val="368E641B"/>
    <w:rsid w:val="38482EC7"/>
    <w:rsid w:val="40CE4185"/>
    <w:rsid w:val="41C04416"/>
    <w:rsid w:val="46254762"/>
    <w:rsid w:val="48763E97"/>
    <w:rsid w:val="49F25495"/>
    <w:rsid w:val="4D981DA3"/>
    <w:rsid w:val="50137F72"/>
    <w:rsid w:val="561D378D"/>
    <w:rsid w:val="56755377"/>
    <w:rsid w:val="58647451"/>
    <w:rsid w:val="58953AAF"/>
    <w:rsid w:val="59B14918"/>
    <w:rsid w:val="5BCD5505"/>
    <w:rsid w:val="5C5679F9"/>
    <w:rsid w:val="5CC44962"/>
    <w:rsid w:val="5E0C65C1"/>
    <w:rsid w:val="5EE832F7"/>
    <w:rsid w:val="5FC30F01"/>
    <w:rsid w:val="65DF6369"/>
    <w:rsid w:val="673E5311"/>
    <w:rsid w:val="6CF40843"/>
    <w:rsid w:val="6E4746E1"/>
    <w:rsid w:val="718D5813"/>
    <w:rsid w:val="74CE23CA"/>
    <w:rsid w:val="7BCB7664"/>
    <w:rsid w:val="7BD52290"/>
    <w:rsid w:val="7CE54755"/>
    <w:rsid w:val="7D7A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1">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22">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78</Words>
  <Characters>85</Characters>
  <Lines>1</Lines>
  <Paragraphs>1</Paragraphs>
  <TotalTime>3</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2025-07-31T13:40:36Z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61DF80E1423D4CA486B0FEA74148C71A_13</vt:lpwstr>
  </property>
</Properties>
</file>