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9874F">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14</w:t>
      </w:r>
    </w:p>
    <w:p w14:paraId="06B6A655">
      <w:pPr>
        <w:pStyle w:val="7"/>
        <w:jc w:val="left"/>
        <w:rPr>
          <w:rFonts w:ascii="方正公文小标宋" w:eastAsia="方正公文小标宋"/>
          <w:b w:val="0"/>
          <w:sz w:val="84"/>
          <w:szCs w:val="84"/>
          <w:lang w:eastAsia="zh-CN"/>
        </w:rPr>
      </w:pPr>
    </w:p>
    <w:p w14:paraId="10F8155C">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740C2AAE">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6B0BC03B">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重庆市丰都县保合镇履行职责事项清单</w:t>
      </w:r>
    </w:p>
    <w:p w14:paraId="2D90DE1B">
      <w:pPr>
        <w:rPr>
          <w:rFonts w:ascii="方正公文小标宋" w:eastAsia="方正公文小标宋"/>
          <w:sz w:val="84"/>
          <w:szCs w:val="84"/>
          <w:lang w:eastAsia="zh-CN"/>
        </w:rPr>
      </w:pPr>
    </w:p>
    <w:p w14:paraId="0FCD52A5">
      <w:pPr>
        <w:rPr>
          <w:rFonts w:ascii="方正公文小标宋" w:eastAsia="方正公文小标宋"/>
          <w:sz w:val="84"/>
          <w:szCs w:val="84"/>
          <w:lang w:eastAsia="zh-CN"/>
        </w:rPr>
      </w:pPr>
    </w:p>
    <w:p w14:paraId="0B1E6A9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color w:val="auto"/>
          <w:sz w:val="44"/>
          <w:szCs w:val="44"/>
          <w:lang w:val="zh-CN" w:eastAsia="en-US"/>
        </w:rPr>
        <w:id w:val="1172384030"/>
        <w:docPartObj>
          <w:docPartGallery w:val="Table of Contents"/>
          <w:docPartUnique/>
        </w:docPartObj>
      </w:sdtPr>
      <w:sdtEndPr>
        <w:rPr>
          <w:rFonts w:hint="eastAsia" w:ascii="Times New Roman" w:hAnsi="Times New Roman" w:eastAsia="方正公文仿宋" w:cs="Times New Roman"/>
          <w:b/>
          <w:bCs/>
          <w:snapToGrid w:val="0"/>
          <w:color w:val="000000"/>
          <w:sz w:val="32"/>
          <w:szCs w:val="21"/>
          <w:lang w:val="zh-CN" w:eastAsia="en-US"/>
        </w:rPr>
      </w:sdtEndPr>
      <w:sdtContent>
        <w:p w14:paraId="038B1152">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53E44146">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1A41AE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319A48B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bookmarkStart w:id="12" w:name="_GoBack"/>
          <w:bookmarkEnd w:id="12"/>
        </w:p>
        <w:p w14:paraId="2E2F3660">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45D58D32">
      <w:pPr>
        <w:pStyle w:val="7"/>
        <w:jc w:val="both"/>
        <w:rPr>
          <w:rFonts w:ascii="Times New Roman" w:hAnsi="Times New Roman" w:eastAsia="方正小标宋_GBK" w:cs="Times New Roman"/>
          <w:color w:val="auto"/>
          <w:spacing w:val="7"/>
          <w:sz w:val="44"/>
          <w:szCs w:val="44"/>
          <w:lang w:eastAsia="zh-CN"/>
        </w:rPr>
      </w:pPr>
    </w:p>
    <w:p w14:paraId="1C7785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9EA33FF">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416"/>
      <w:bookmarkStart w:id="1" w:name="_Toc172533652"/>
      <w:bookmarkStart w:id="2" w:name="_Toc172077949"/>
      <w:bookmarkStart w:id="3" w:name="_Toc172077551"/>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7BA5BC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9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E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F1A71D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4DD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6CF6E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E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6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127A3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B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2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3AAF4F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5D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3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0CCFE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E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400507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4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B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3A053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F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C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167C09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3C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FB1AE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8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73E5A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5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9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34AA01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3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3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5AA10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4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A50A9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F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374CAA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CE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6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7AC015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9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5EE8DF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75772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411FA8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9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A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2DFB8C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5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48163F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1B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E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4A499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7F31F9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66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F0B0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1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330A39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6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D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F91AB4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3FE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二、经济发展（11项）</w:t>
            </w:r>
          </w:p>
        </w:tc>
      </w:tr>
      <w:tr w14:paraId="4EBAC3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8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F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217538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8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690A9A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A0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52464C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78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69A00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7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1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5C956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0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1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2A0EDE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4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CC0C2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2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3A07CD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4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0BFF39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F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负责川芎、菳荞麦、淫羊藿等产业发展工作。</w:t>
            </w:r>
          </w:p>
        </w:tc>
      </w:tr>
      <w:tr w14:paraId="16050C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7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6F705B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AD2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6356E0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44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2D4266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BF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5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46A7FD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E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2AE612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3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6B1E4F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4EE75C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E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E02FB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5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783114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1F27D4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0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E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4012A9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67A93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8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014AF3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8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F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6E9028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A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7286318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D37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DF4C0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C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C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42317A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F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43F5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1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8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54EA29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3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527940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A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3FDD5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4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0E29E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B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5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1C672F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68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1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7C0D52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0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B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8C63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5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E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D630D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3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1A035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0A771A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03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负责建立健全领导接访和信访应急预案，主动排查涉访矛盾，按规定受理、协调、处置信访事项，联动协同处置突发事件，做好职权范围内信访人员疏导教育、帮扶救助等工作。</w:t>
            </w:r>
          </w:p>
        </w:tc>
      </w:tr>
      <w:tr w14:paraId="5F5F7E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B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E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797C54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1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3B76E2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A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A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4FBD3CD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C73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703E52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B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644A50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4F6199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F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62F9CA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F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C3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7C99DB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FC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9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0CEDFB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3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F7B46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4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E0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48D07A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9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558EEE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D30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4FEB57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4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4D7A88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538A7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7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0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D9097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6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8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94F999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584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D8F86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1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134C96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76CC2D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79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C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3BCD07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8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5BC60F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E1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0F1601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E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7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36E8D11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47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7B795E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EA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p>
        </w:tc>
      </w:tr>
      <w:tr w14:paraId="478A1D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A74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297FDE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F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2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080556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A3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537732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D2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B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负责政府信息公开工作。</w:t>
            </w:r>
          </w:p>
        </w:tc>
      </w:tr>
      <w:tr w14:paraId="5E663A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F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3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r>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t>。</w:t>
            </w:r>
          </w:p>
        </w:tc>
      </w:tr>
      <w:tr w14:paraId="4783A7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B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57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r>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t>。</w:t>
            </w:r>
          </w:p>
        </w:tc>
      </w:tr>
      <w:tr w14:paraId="2172B1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9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C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85035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3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2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181F0C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37A922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E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3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3D9A11E1">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bookmarkStart w:id="8" w:name="_Toc172077951"/>
      <w:bookmarkStart w:id="9" w:name="_Toc172077553"/>
      <w:bookmarkStart w:id="10" w:name="_Toc172533654"/>
      <w:bookmarkStart w:id="11" w:name="_Toc172077418"/>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672B5A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C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15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9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1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1D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325CE36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A13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59FF39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4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011D4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0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55370E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C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FEB0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AD23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2D63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47A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66B8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1070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B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F9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5CF94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8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08A8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F7DD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A5E5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C564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4E5A3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0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7173EC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D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5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3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4F5222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C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0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A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D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7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6FDA3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D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7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1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0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27DDEA4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616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50662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6C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2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D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56044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7563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9525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7BF9D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2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217C71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7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A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408E2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F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3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15AD4D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2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044911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C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3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E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4EF6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63F46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2741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46851C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346C6A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9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3388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CC35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5D8F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50712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B3F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7A46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73E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F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F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77485B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D3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5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7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F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0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148FBB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3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DA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4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B5B0DA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41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D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F325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79E3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37106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80C2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9264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0F58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42436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0145F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3F1E7C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5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4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1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4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365F87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7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7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D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A3280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4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9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3D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2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5302F58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CB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A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4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1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49313C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A53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E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8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7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35AD07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DC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F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8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4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67CFF5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91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3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F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7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6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2F6A54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B9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7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5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3E45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B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7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57D79D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AF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D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9ADA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2EAC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D2F5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9BB2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6C0E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8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649B34A7">
        <w:tblPrEx>
          <w:tblCellMar>
            <w:top w:w="0" w:type="dxa"/>
            <w:left w:w="108" w:type="dxa"/>
            <w:bottom w:w="0" w:type="dxa"/>
            <w:right w:w="108" w:type="dxa"/>
          </w:tblCellMar>
        </w:tblPrEx>
        <w:trPr>
          <w:trHeight w:val="3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B63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2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5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68A80417">
        <w:tblPrEx>
          <w:tblCellMar>
            <w:top w:w="0" w:type="dxa"/>
            <w:left w:w="108" w:type="dxa"/>
            <w:bottom w:w="0" w:type="dxa"/>
            <w:right w:w="108" w:type="dxa"/>
          </w:tblCellMar>
        </w:tblPrEx>
        <w:trPr>
          <w:trHeight w:val="4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36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44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0FBAFD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71BBE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E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9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7261B6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D23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57FB7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C7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1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920E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B82F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E0DE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74FFCC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D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1D39A5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DE5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F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0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6C422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72FB1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8EA5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6542E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8668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C6D1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E81B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1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4BC02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05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D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24619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F8AF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EB1F9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386A0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6CF73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E6B8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15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043552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2F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02043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21AC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37F4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03A6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495FB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DA29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7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1DEA0E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55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6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D596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16447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86555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554A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0CB4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C93B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C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8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29CA5E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3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AE7E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6D1A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0514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4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F68F1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B4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88150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B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B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5F10A5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5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B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EEC1A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8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0701E6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C8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1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7DCC1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DE0E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12EACB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60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C5CD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D696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DD56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0E694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9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C7B52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1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48A4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08E64B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660E5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AB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A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3DE5D7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F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F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1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BD8C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DF25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8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B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33349E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92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90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D6C9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9082A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5296C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7718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5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22B7159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F6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8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C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345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C11E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07C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B851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576F91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A1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8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6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C56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35430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EBA37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D2233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E37F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70FDB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0A71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B65F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0D48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5C941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2590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1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6F3DDD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C1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2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322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F797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A0EB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5F51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9B339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023B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D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554D9A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D4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A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A8E0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DCA8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1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B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3AEF6400">
        <w:tblPrEx>
          <w:tblCellMar>
            <w:top w:w="0" w:type="dxa"/>
            <w:left w:w="108" w:type="dxa"/>
            <w:bottom w:w="0" w:type="dxa"/>
            <w:right w:w="108" w:type="dxa"/>
          </w:tblCellMar>
        </w:tblPrEx>
        <w:trPr>
          <w:trHeight w:val="43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D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6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6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B02F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05CCB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FF73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0ED6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E3604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E413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59A2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9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6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57D0DC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AD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0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595EAB5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860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04B684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1B3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7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5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2FE3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6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C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496BF8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67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2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8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19C01D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93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5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2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A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F0AF4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25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8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A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3ECBF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2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962533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8D1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E3827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3A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B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A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65CC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1A9C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F0FE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600F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4F38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6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7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68A6E2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8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2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7D54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57D2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B250A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28B3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4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3CCBB5A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CF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1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35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A92E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424A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38160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AC26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C0B1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6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C5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3EF48F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AD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1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C1B6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4CDE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1468BF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B43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C4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5F47A6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4D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C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0A380B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7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6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2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4B5949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2A1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D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3E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0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2566D1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56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E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9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504634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7DB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3505E8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F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B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4F08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E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4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C1A14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F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F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0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5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6F1FF9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C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C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DEFC7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1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2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C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0FFE7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E90C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BB7E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79600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9D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075A7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1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6E7946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0C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3851D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县生态环境局</w:t>
            </w:r>
          </w:p>
          <w:p w14:paraId="1D337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县林业局</w:t>
            </w:r>
          </w:p>
          <w:p w14:paraId="14950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县农业农村委</w:t>
            </w:r>
          </w:p>
          <w:p w14:paraId="2743F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0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537FEC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C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9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A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286D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4EB8EC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81B2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9FD4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2CD8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EB62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D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60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1DFD7E8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867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1D03EB5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65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EB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3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5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54C5B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5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F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6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590202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A2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4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1E2FF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B9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E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A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F042BDF">
      <w:pPr>
        <w:pStyle w:val="2"/>
        <w:spacing w:before="0" w:after="0" w:line="240" w:lineRule="auto"/>
        <w:jc w:val="center"/>
        <w:rPr>
          <w:rFonts w:hint="eastAsia" w:ascii="Times New Roman" w:hAnsi="Times New Roman" w:eastAsia="方正公文小标宋" w:cs="Times New Roman"/>
          <w:b w:val="0"/>
          <w:lang w:eastAsia="zh-CN"/>
        </w:rPr>
      </w:pPr>
    </w:p>
    <w:p w14:paraId="6AA0209A">
      <w:pPr>
        <w:rPr>
          <w:rFonts w:hint="eastAsia" w:ascii="Times New Roman" w:hAnsi="Times New Roman" w:eastAsia="方正公文小标宋" w:cs="Times New Roman"/>
          <w:b w:val="0"/>
          <w:lang w:eastAsia="zh-CN"/>
        </w:rPr>
      </w:pPr>
    </w:p>
    <w:p w14:paraId="0F26F5BE">
      <w:pPr>
        <w:rPr>
          <w:rFonts w:hint="eastAsia" w:ascii="Times New Roman" w:hAnsi="Times New Roman" w:eastAsia="方正公文小标宋" w:cs="Times New Roman"/>
          <w:b w:val="0"/>
          <w:lang w:eastAsia="zh-CN"/>
        </w:rPr>
      </w:pPr>
    </w:p>
    <w:p w14:paraId="5B09A207">
      <w:pPr>
        <w:rPr>
          <w:rFonts w:hint="eastAsia" w:ascii="Times New Roman" w:hAnsi="Times New Roman" w:eastAsia="方正公文小标宋" w:cs="Times New Roman"/>
          <w:b w:val="0"/>
          <w:lang w:eastAsia="zh-CN"/>
        </w:rPr>
      </w:pPr>
    </w:p>
    <w:p w14:paraId="74912D29">
      <w:pPr>
        <w:rPr>
          <w:rFonts w:hint="eastAsia" w:ascii="Times New Roman" w:hAnsi="Times New Roman" w:eastAsia="方正公文小标宋" w:cs="Times New Roman"/>
          <w:b w:val="0"/>
          <w:lang w:eastAsia="zh-CN"/>
        </w:rPr>
      </w:pPr>
    </w:p>
    <w:p w14:paraId="6CA7D249">
      <w:pPr>
        <w:rPr>
          <w:rFonts w:hint="eastAsia" w:ascii="Times New Roman" w:hAnsi="Times New Roman" w:eastAsia="方正公文小标宋" w:cs="Times New Roman"/>
          <w:b w:val="0"/>
          <w:lang w:eastAsia="zh-CN"/>
        </w:rPr>
      </w:pPr>
    </w:p>
    <w:p w14:paraId="4B3CC5EC">
      <w:pPr>
        <w:rPr>
          <w:rFonts w:hint="eastAsia" w:ascii="Times New Roman" w:hAnsi="Times New Roman" w:eastAsia="方正公文小标宋" w:cs="Times New Roman"/>
          <w:b w:val="0"/>
          <w:lang w:eastAsia="zh-CN"/>
        </w:rPr>
      </w:pPr>
    </w:p>
    <w:p w14:paraId="24B0F55D">
      <w:pPr>
        <w:rPr>
          <w:rFonts w:hint="eastAsia" w:ascii="Times New Roman" w:hAnsi="Times New Roman" w:eastAsia="方正公文小标宋" w:cs="Times New Roman"/>
          <w:b w:val="0"/>
          <w:lang w:eastAsia="zh-CN"/>
        </w:rPr>
      </w:pPr>
    </w:p>
    <w:p w14:paraId="51809C2F">
      <w:pPr>
        <w:pStyle w:val="2"/>
        <w:spacing w:before="0" w:after="0" w:line="240" w:lineRule="auto"/>
        <w:jc w:val="center"/>
        <w:rPr>
          <w:rFonts w:hint="eastAsia" w:ascii="Times New Roman" w:hAnsi="Times New Roman" w:eastAsia="方正公文小标宋" w:cs="Times New Roman"/>
          <w:b w:val="0"/>
          <w:lang w:eastAsia="zh-CN"/>
        </w:rPr>
      </w:pPr>
    </w:p>
    <w:p w14:paraId="75849FDE">
      <w:pPr>
        <w:rPr>
          <w:rFonts w:hint="eastAsia" w:ascii="Times New Roman" w:hAnsi="Times New Roman" w:eastAsia="方正公文小标宋" w:cs="Times New Roman"/>
          <w:b w:val="0"/>
          <w:lang w:eastAsia="zh-CN"/>
        </w:rPr>
      </w:pPr>
    </w:p>
    <w:bookmarkEnd w:id="8"/>
    <w:bookmarkEnd w:id="9"/>
    <w:bookmarkEnd w:id="10"/>
    <w:bookmarkEnd w:id="11"/>
    <w:p w14:paraId="3253FBCD">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hint="eastAsia" w:ascii="方正小标宋_GBK" w:hAnsi="宋体" w:eastAsia="方正小标宋_GBK" w:cs="方正小标宋_GBK"/>
          <w:b w:val="0"/>
          <w:snapToGrid/>
          <w:lang w:eastAsia="zh-CN"/>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20FDA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D16B">
            <w:pPr>
              <w:keepNext w:val="0"/>
              <w:keepLines w:val="0"/>
              <w:pageBreakBefore w:val="0"/>
              <w:widowControl/>
              <w:wordWrap/>
              <w:overflowPunct/>
              <w:topLinePunct w:val="0"/>
              <w:autoSpaceDE w:val="0"/>
              <w:autoSpaceDN w:val="0"/>
              <w:bidi w:val="0"/>
              <w:adjustRightInd w:val="0"/>
              <w:snapToGrid w:val="0"/>
              <w:spacing w:line="300" w:lineRule="exact"/>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488">
            <w:pPr>
              <w:keepNext w:val="0"/>
              <w:keepLines w:val="0"/>
              <w:pageBreakBefore w:val="0"/>
              <w:widowControl/>
              <w:wordWrap/>
              <w:overflowPunct/>
              <w:topLinePunct w:val="0"/>
              <w:autoSpaceDE w:val="0"/>
              <w:autoSpaceDN w:val="0"/>
              <w:bidi w:val="0"/>
              <w:adjustRightInd w:val="0"/>
              <w:snapToGrid w:val="0"/>
              <w:spacing w:line="300" w:lineRule="exact"/>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3680">
            <w:pPr>
              <w:keepNext w:val="0"/>
              <w:keepLines w:val="0"/>
              <w:pageBreakBefore w:val="0"/>
              <w:widowControl/>
              <w:wordWrap/>
              <w:overflowPunct/>
              <w:topLinePunct w:val="0"/>
              <w:autoSpaceDE w:val="0"/>
              <w:autoSpaceDN w:val="0"/>
              <w:bidi w:val="0"/>
              <w:adjustRightInd w:val="0"/>
              <w:snapToGrid w:val="0"/>
              <w:spacing w:line="300" w:lineRule="exact"/>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bidi="ar"/>
              </w:rPr>
              <w:t>承接部门及工作方式</w:t>
            </w:r>
          </w:p>
        </w:tc>
      </w:tr>
      <w:tr w14:paraId="1669A8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D5E17">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黑体_GBK" w:cs="Times New Roman"/>
                <w:sz w:val="21"/>
                <w:szCs w:val="21"/>
              </w:rPr>
            </w:pPr>
            <w:r>
              <w:rPr>
                <w:rStyle w:val="16"/>
                <w:rFonts w:hint="default" w:ascii="Times New Roman" w:hAnsi="Times New Roman" w:eastAsia="方正黑体_GBK" w:cs="Times New Roman"/>
                <w:color w:val="auto"/>
                <w:sz w:val="21"/>
                <w:szCs w:val="21"/>
                <w:lang w:bidi="ar"/>
              </w:rPr>
              <w:t>一、经济发展（14项）</w:t>
            </w:r>
          </w:p>
        </w:tc>
      </w:tr>
      <w:tr w14:paraId="06D01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4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91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4D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1.加强动植物检疫，普及宣传外来入侵物种危害及防控知识。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2.建立外来入侵物种监测网络。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3.制定外来入侵物种应急预案，组织清除行动。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4.推广防治技术。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5.监管农业经营主体，联合相关部门执法。</w:t>
            </w:r>
          </w:p>
        </w:tc>
      </w:tr>
      <w:tr w14:paraId="41D0B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C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5D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1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会同有关部门建立外来入侵物种普查制度，定期组织开展全国普查，掌握外来入侵物种的种类数量、分布范围、危害程度等情况，建立本地物种数据库。</w:t>
            </w:r>
          </w:p>
        </w:tc>
      </w:tr>
      <w:tr w14:paraId="6C07B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F5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87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9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1.购买社会化服务。委托三方机构开展水生动物疫病调查、检测等。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2.建立县、乡镇（街道）渔业灾害病害以及水生动物疫情信息共享机制。</w:t>
            </w:r>
          </w:p>
        </w:tc>
      </w:tr>
      <w:tr w14:paraId="14765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13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E9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33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1.发布水产相关信息。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2.为养殖户提供技术培训、发放水产养殖技术宣传资料。</w:t>
            </w:r>
          </w:p>
        </w:tc>
      </w:tr>
      <w:tr w14:paraId="5E48A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E7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BF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99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1.实行分片区检疫。</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2.由县动物卫生监督所指派官方兽医实施。</w:t>
            </w:r>
          </w:p>
        </w:tc>
      </w:tr>
      <w:tr w14:paraId="655E4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E9F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186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B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1.购买社会化服务，委托三方机构组织实施。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2.建立县、乡镇（街道）动物疫情信息共享机制。</w:t>
            </w:r>
          </w:p>
        </w:tc>
      </w:tr>
      <w:tr w14:paraId="6B6C9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A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1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8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1.开展畜牧品种资源的调查、收集、整理、保护和开发利用。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2.开展畜牧新品种、新品系的引进、试验工作。</w:t>
            </w:r>
          </w:p>
        </w:tc>
      </w:tr>
      <w:tr w14:paraId="063C7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1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87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157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承接部门：县农业农村委、县生态环境局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1.负责结合本地实际情况，推广适合规模以下养殖的废弃物综合利用实用技术和模式。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3.培训和指导乡镇（街道）技术人员开展规模以下畜禽粪污资源化利用。</w:t>
            </w:r>
          </w:p>
          <w:p w14:paraId="244A66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195475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负责对规模以下畜禽养殖废弃物排放情况进行监督检查，依法查处违法排放行为，确保养殖废弃物综合利用符合环境保护要求。</w:t>
            </w:r>
          </w:p>
        </w:tc>
      </w:tr>
      <w:tr w14:paraId="21FFE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3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AC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D91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1.制定年度农机安全生产监督检查方案，明确检查重点、频次及责任分工。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2.开展春耕、三夏、秋收等农忙季节专项检查，重点查处无牌行驶、无证驾驶、违法载人等行为。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3.对乡镇（街道）农机安全资料清单开展检查。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4.召开农机安全工作会议。</w:t>
            </w:r>
          </w:p>
        </w:tc>
      </w:tr>
      <w:tr w14:paraId="6A1F2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3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B9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D7A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负责渔业船舶登记审批工作。</w:t>
            </w:r>
          </w:p>
        </w:tc>
      </w:tr>
      <w:tr w14:paraId="43A1F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8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EDF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0F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负责国家二级保护野生植物（农业类）采集的初审工作。</w:t>
            </w:r>
          </w:p>
        </w:tc>
      </w:tr>
      <w:tr w14:paraId="32AEA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7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6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945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1.购买社会化服务，委托三方机构组织实施。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2.建立县、乡镇（街道）水产养殖病害防治及水生动物疫情信息共享机制。</w:t>
            </w:r>
          </w:p>
        </w:tc>
      </w:tr>
      <w:tr w14:paraId="57112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8B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8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1.受理取水申请，审核相关材料。</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2.建立取水许可档案，定期更新取水台账系统。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3.对纳入许可管理的单位实施年度取水计划管理，监测实施取水量。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4.检查取水计量设施运行、节水措施执行及退水处理情况，查处超量取水等违法行为。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5.根据水源变化或政策要求，核减或限制取水量，处理许可证延续、注销等事项。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6.向取水单位普及节水技术，推广水平衡测试，协助完成水资源论证。</w:t>
            </w:r>
          </w:p>
        </w:tc>
      </w:tr>
      <w:tr w14:paraId="19E03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2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6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81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1.负责集体土地所有权权属调查与确认。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2.受理与审核农村集体经济组织提交的登记申请材料。</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3.颁发《不动产权证书》及建立集体土地所有权登记档案。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4.开展土地管理法律法规和政策宣传。</w:t>
            </w:r>
          </w:p>
        </w:tc>
      </w:tr>
      <w:tr w14:paraId="448F968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4534D">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二、民生服务（1</w:t>
            </w:r>
            <w:r>
              <w:rPr>
                <w:rStyle w:val="16"/>
                <w:rFonts w:hint="eastAsia" w:ascii="Times New Roman" w:hAnsi="Times New Roman" w:eastAsia="方正黑体_GBK" w:cs="Times New Roman"/>
                <w:b w:val="0"/>
                <w:bCs w:val="0"/>
                <w:i w:val="0"/>
                <w:iCs w:val="0"/>
                <w:strike w:val="0"/>
                <w:dstrike w:val="0"/>
                <w:color w:val="auto"/>
                <w:sz w:val="21"/>
                <w:szCs w:val="21"/>
                <w:lang w:val="en-US" w:eastAsia="zh-CN" w:bidi="ar"/>
              </w:rPr>
              <w:t>4</w:t>
            </w:r>
            <w:r>
              <w:rPr>
                <w:rStyle w:val="16"/>
                <w:rFonts w:hint="default" w:ascii="Times New Roman" w:hAnsi="Times New Roman" w:eastAsia="方正黑体_GBK" w:cs="Times New Roman"/>
                <w:b w:val="0"/>
                <w:bCs w:val="0"/>
                <w:i w:val="0"/>
                <w:iCs w:val="0"/>
                <w:strike w:val="0"/>
                <w:dstrike w:val="0"/>
                <w:color w:val="auto"/>
                <w:sz w:val="21"/>
                <w:szCs w:val="21"/>
                <w:lang w:bidi="ar"/>
              </w:rPr>
              <w:t>项）</w:t>
            </w:r>
          </w:p>
        </w:tc>
      </w:tr>
      <w:tr w14:paraId="0204D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A1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08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B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1.核实是否存在违规领取的高龄津贴现象。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2.向乡镇提供追缴违规领取的高龄津贴名单。</w:t>
            </w:r>
          </w:p>
        </w:tc>
      </w:tr>
      <w:tr w14:paraId="13674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5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6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04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法律法规条款已失效，不再开展此项工作。</w:t>
            </w:r>
          </w:p>
        </w:tc>
      </w:tr>
      <w:tr w14:paraId="1D814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C1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B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C4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承接部门：县卫生健康委、县财政局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2.乡镇政府、街道办事处协同县卫生健康委、县财政局追回超领、冒领的扶助资金。</w:t>
            </w:r>
          </w:p>
        </w:tc>
      </w:tr>
      <w:tr w14:paraId="469B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D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BB5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6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根据优化生育政策要求，不再开展此项工作。</w:t>
            </w:r>
          </w:p>
        </w:tc>
      </w:tr>
      <w:tr w14:paraId="59510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0B8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C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48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负责发放避孕药具。</w:t>
            </w:r>
          </w:p>
        </w:tc>
      </w:tr>
      <w:tr w14:paraId="19B7A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AD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60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FC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1.严格遵从计划生育重要时间节点的上级文件要求，开展相关宣传服务活动。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2.认真传达贯彻上级文件要求，指导乡镇协同开展相关服务活动。</w:t>
            </w:r>
          </w:p>
        </w:tc>
      </w:tr>
      <w:tr w14:paraId="45745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1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2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E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负责高校应届毕业生生源信息导出和核查工作。</w:t>
            </w:r>
          </w:p>
        </w:tc>
      </w:tr>
      <w:tr w14:paraId="446E4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A6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31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D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负责就业帮扶培训政策宣传、人员摸排及培训。</w:t>
            </w:r>
          </w:p>
        </w:tc>
      </w:tr>
      <w:tr w14:paraId="17073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3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6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1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负责创业实体信息及就业务工信息统计工作。</w:t>
            </w:r>
          </w:p>
        </w:tc>
      </w:tr>
      <w:tr w14:paraId="77E42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4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8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51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承接部门：县医保局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负责受理、核实门诊费用报销申请并办理相关业务。</w:t>
            </w:r>
          </w:p>
        </w:tc>
      </w:tr>
      <w:tr w14:paraId="406A6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F0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91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承接部门：县医保局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负责受理、核实住院费用报销申请并办理相关业务。</w:t>
            </w:r>
          </w:p>
        </w:tc>
      </w:tr>
      <w:tr w14:paraId="33C25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BF9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D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承接部门：县医保局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负责城乡居民基本医疗保险已缴费人员统计。</w:t>
            </w:r>
          </w:p>
        </w:tc>
      </w:tr>
      <w:tr w14:paraId="1131D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CA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2F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负责开设巾帼夜校及课程。</w:t>
            </w:r>
          </w:p>
        </w:tc>
      </w:tr>
      <w:tr w14:paraId="630C9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E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4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16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开展三峡技校招生宣传，完成招生入学。</w:t>
            </w:r>
          </w:p>
        </w:tc>
      </w:tr>
      <w:tr w14:paraId="502A94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06C57">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三、平安法治（1</w:t>
            </w:r>
            <w:r>
              <w:rPr>
                <w:rStyle w:val="16"/>
                <w:rFonts w:hint="eastAsia" w:ascii="Times New Roman" w:hAnsi="Times New Roman" w:eastAsia="方正黑体_GBK" w:cs="Times New Roman"/>
                <w:b w:val="0"/>
                <w:bCs w:val="0"/>
                <w:i w:val="0"/>
                <w:iCs w:val="0"/>
                <w:strike w:val="0"/>
                <w:dstrike w:val="0"/>
                <w:color w:val="auto"/>
                <w:sz w:val="21"/>
                <w:szCs w:val="21"/>
                <w:lang w:val="en-US" w:eastAsia="zh-CN" w:bidi="ar"/>
              </w:rPr>
              <w:t>7</w:t>
            </w:r>
            <w:r>
              <w:rPr>
                <w:rStyle w:val="16"/>
                <w:rFonts w:hint="default" w:ascii="Times New Roman" w:hAnsi="Times New Roman" w:eastAsia="方正黑体_GBK" w:cs="Times New Roman"/>
                <w:b w:val="0"/>
                <w:bCs w:val="0"/>
                <w:i w:val="0"/>
                <w:iCs w:val="0"/>
                <w:strike w:val="0"/>
                <w:dstrike w:val="0"/>
                <w:color w:val="auto"/>
                <w:sz w:val="21"/>
                <w:szCs w:val="21"/>
                <w:lang w:bidi="ar"/>
              </w:rPr>
              <w:t>项）</w:t>
            </w:r>
          </w:p>
        </w:tc>
      </w:tr>
      <w:tr w14:paraId="63A2E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85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8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负责对违反《基本农田保护条例》规定，破坏或者擅自改变基本农田保护区标志的行为，开展立案、调查、处罚、回访。</w:t>
            </w:r>
          </w:p>
        </w:tc>
      </w:tr>
      <w:tr w14:paraId="77295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1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26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5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负责烟花爆竹经营（零售）许可证换证现场核查。</w:t>
            </w:r>
          </w:p>
        </w:tc>
      </w:tr>
      <w:tr w14:paraId="6BD1D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A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3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19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负责烟花爆竹经营企业（批发、零售）监督检查工作。</w:t>
            </w:r>
          </w:p>
        </w:tc>
      </w:tr>
      <w:tr w14:paraId="564D5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CD3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1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负责对非煤矿山企业、尾矿库开展日常安全生产监督检查。</w:t>
            </w:r>
          </w:p>
        </w:tc>
      </w:tr>
      <w:tr w14:paraId="4C1A8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C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D1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负责对非煤矿山外包工程安全生产开展监督检查。</w:t>
            </w:r>
          </w:p>
        </w:tc>
      </w:tr>
      <w:tr w14:paraId="51AAD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4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A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E1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负责对生产经营单位消除重大事故隐患开展监督检查。</w:t>
            </w:r>
          </w:p>
        </w:tc>
      </w:tr>
      <w:tr w14:paraId="595D3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0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6F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DD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负责对粉尘涉爆企业实施安全监督管理。</w:t>
            </w:r>
          </w:p>
        </w:tc>
      </w:tr>
      <w:tr w14:paraId="4F691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51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1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负责摩托车、人力三轮车、残疾人机动轮椅及装配动力装置的无牌无证车辆管理整治工作。</w:t>
            </w:r>
          </w:p>
        </w:tc>
      </w:tr>
      <w:tr w14:paraId="6349F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B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2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EA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对销售无卫生许可批准文件的涉及饮用水卫生安全的产品的行为，开展立案、调查、处罚、回访。</w:t>
            </w:r>
          </w:p>
        </w:tc>
      </w:tr>
      <w:tr w14:paraId="0F350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4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3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对制造、销售封建迷信殡葬用品的行为，开展立案、调查、处罚、回访。</w:t>
            </w:r>
          </w:p>
        </w:tc>
      </w:tr>
      <w:tr w14:paraId="3249F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4A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5F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承接部门：县司法局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开展法律援助指导监督和组织实施工作。</w:t>
            </w:r>
          </w:p>
        </w:tc>
      </w:tr>
      <w:tr w14:paraId="1309A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7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1EF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6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派执法人员现场检查，依法做出处罚决定。</w:t>
            </w:r>
          </w:p>
        </w:tc>
      </w:tr>
      <w:tr w14:paraId="7B104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6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88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3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1.协调选址建设微型消防站。</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2.配备相关消防设施设备、人员等。</w:t>
            </w:r>
          </w:p>
        </w:tc>
      </w:tr>
      <w:tr w14:paraId="27E3F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E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5E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81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开展加油站安全监督检查工作。</w:t>
            </w:r>
          </w:p>
        </w:tc>
      </w:tr>
      <w:tr w14:paraId="50278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D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81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对娱乐场所未在显著位置悬挂娱乐经营许可证、未成年人禁入或者限入标志以及标志未注明举报电话的行为，开展立案、调查、处罚、回访。</w:t>
            </w:r>
          </w:p>
        </w:tc>
      </w:tr>
      <w:tr w14:paraId="76D7D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4D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FD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对歌舞娱乐场所违反《娱乐场所管理条例》规定接纳未成年人的行为，开展立案、调查、处罚、回访。</w:t>
            </w:r>
          </w:p>
        </w:tc>
      </w:tr>
      <w:tr w14:paraId="568DB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B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5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81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负责对烟花爆竹零售店进行初审、终审及许可证办理。</w:t>
            </w:r>
          </w:p>
        </w:tc>
      </w:tr>
      <w:tr w14:paraId="3EFEBC5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F80FC">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四、乡村振兴（1项）</w:t>
            </w:r>
          </w:p>
        </w:tc>
      </w:tr>
      <w:tr w14:paraId="7BA32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9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EB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2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落实党中央为基层减负有关要求，不再开展此项工作。</w:t>
            </w:r>
          </w:p>
        </w:tc>
      </w:tr>
      <w:tr w14:paraId="36BF138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D92B3">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五、生态环保（9项）</w:t>
            </w:r>
          </w:p>
        </w:tc>
      </w:tr>
      <w:tr w14:paraId="7BEF0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B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C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06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1.将符合纳入台账管理条件的工业固体废物纳入台账管理，作好企业守法培训。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2.对涉工业固体废物的违法行为依法进行立案查处。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3.涉嫌刑事违法的依法移送县公安部门追究刑事责任。</w:t>
            </w:r>
          </w:p>
        </w:tc>
      </w:tr>
      <w:tr w14:paraId="4014D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8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2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24F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2.按规定对水质进行采样监测。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3.对涉集中式饮用水源地的违法行为进行立案查处。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4.涉嫌刑事违法的依法移送县公安部门追究刑事责任。</w:t>
            </w:r>
          </w:p>
        </w:tc>
      </w:tr>
      <w:tr w14:paraId="3B4ED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2B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10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67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1.不断完善噪声污染防治制度体系，强化源头防控，厘清防治责任，促进声环境质量不断改善。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2.对涉及噪声的违法行为依法进行立案查处。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3.涉嫌刑事违法的依法移送县公安部门追究刑事责任。</w:t>
            </w:r>
          </w:p>
        </w:tc>
      </w:tr>
      <w:tr w14:paraId="3F12A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8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D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F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对非法采砂行为开展巡查与整改。</w:t>
            </w:r>
          </w:p>
        </w:tc>
      </w:tr>
      <w:tr w14:paraId="6D645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0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B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8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负责小型水库安全监督和防汛监督管理。</w:t>
            </w:r>
          </w:p>
        </w:tc>
      </w:tr>
      <w:tr w14:paraId="28D1A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6D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B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1.负责采取林分改造、森林抚育等措施，落实公益林保护相关事项。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2.负责聘请护林员开展公益林管护事项。</w:t>
            </w:r>
          </w:p>
        </w:tc>
      </w:tr>
      <w:tr w14:paraId="75636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E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D96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1.负责受理林木采伐申请。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2.负责实地核实、审批、公示林木采伐需求。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3.负责办理发放林木采伐许可。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4.负责林木采伐监管。</w:t>
            </w:r>
          </w:p>
        </w:tc>
      </w:tr>
      <w:tr w14:paraId="6E15B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6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E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6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1.负责监测林业有害生物。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2.负责检疫林业有害生物。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3.负责防治林业有害生物工作。</w:t>
            </w:r>
          </w:p>
        </w:tc>
      </w:tr>
      <w:tr w14:paraId="6CB0C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E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918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27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接到报告后，动物卫生监督所指派官方兽医赶赴现场，核实情况并启动处置程序。</w:t>
            </w:r>
          </w:p>
        </w:tc>
      </w:tr>
      <w:tr w14:paraId="20421D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768B9">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六、城乡建设（5项）</w:t>
            </w:r>
          </w:p>
        </w:tc>
      </w:tr>
      <w:tr w14:paraId="682F3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6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C48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0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承担全县集体土地征收补偿安置具体实施的事务性工作。</w:t>
            </w:r>
          </w:p>
        </w:tc>
      </w:tr>
      <w:tr w14:paraId="69F98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EB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B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按照规定开展扩建、改建各类老旧小区和市政基础设施工程质量监督管理。</w:t>
            </w:r>
          </w:p>
        </w:tc>
      </w:tr>
      <w:tr w14:paraId="002FD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8A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7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按照相关规定开展房屋安全评估。</w:t>
            </w:r>
          </w:p>
        </w:tc>
      </w:tr>
      <w:tr w14:paraId="0B630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3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54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3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按照规定开展农村住房安全鉴定评定工作。</w:t>
            </w:r>
          </w:p>
        </w:tc>
      </w:tr>
      <w:tr w14:paraId="11612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7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EF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A55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开展自建房安全等级鉴定。</w:t>
            </w:r>
          </w:p>
        </w:tc>
      </w:tr>
    </w:tbl>
    <w:p w14:paraId="14DA5EBB">
      <w:pPr>
        <w:pStyle w:val="2"/>
        <w:spacing w:before="0" w:after="0" w:line="240" w:lineRule="auto"/>
        <w:jc w:val="center"/>
        <w:rPr>
          <w:rFonts w:ascii="Times New Roman" w:hAnsi="Times New Roman" w:eastAsia="方正小标宋_GBK" w:cs="Times New Roman"/>
          <w:color w:val="auto"/>
          <w:spacing w:val="7"/>
          <w:lang w:eastAsia="zh-CN"/>
        </w:rPr>
      </w:pPr>
    </w:p>
    <w:p w14:paraId="6B8C31B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DD4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9E4F92">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9E4F92">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F50">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1A2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3A181A"/>
    <w:rsid w:val="0D635AEC"/>
    <w:rsid w:val="0D9E0052"/>
    <w:rsid w:val="10863702"/>
    <w:rsid w:val="117B77A2"/>
    <w:rsid w:val="1A271AB1"/>
    <w:rsid w:val="26024528"/>
    <w:rsid w:val="288B33D4"/>
    <w:rsid w:val="34932E71"/>
    <w:rsid w:val="4229426D"/>
    <w:rsid w:val="47437420"/>
    <w:rsid w:val="5D9A123A"/>
    <w:rsid w:val="64AB6F9F"/>
    <w:rsid w:val="76E0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2025-07-30T09:40:55Z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eyJoZGlkIjoiODMyZTk1N2RlMTEyMTE0M2M4YTNmZTgxNDY3YmY3MjQiLCJ1c2VySWQiOiIzMDc2MzAyOTgifQ==</vt:lpwstr>
  </property>
  <property fmtid="{D5CDD505-2E9C-101B-9397-08002B2CF9AE}" pid="3" name="KSOProductBuildVer">
    <vt:lpwstr>2052-12.1.0.21915</vt:lpwstr>
  </property>
  <property fmtid="{D5CDD505-2E9C-101B-9397-08002B2CF9AE}" pid="4" name="ICV">
    <vt:lpwstr>74A62C6A607644B5B8278E6500616261_12</vt:lpwstr>
  </property>
</Properties>
</file>