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37CA9">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23</w:t>
      </w:r>
    </w:p>
    <w:p w14:paraId="769D5603">
      <w:pPr>
        <w:pStyle w:val="7"/>
        <w:jc w:val="left"/>
        <w:rPr>
          <w:rFonts w:ascii="方正公文小标宋" w:eastAsia="方正公文小标宋"/>
          <w:b w:val="0"/>
          <w:sz w:val="84"/>
          <w:szCs w:val="84"/>
          <w:lang w:eastAsia="zh-CN"/>
        </w:rPr>
      </w:pPr>
    </w:p>
    <w:p w14:paraId="4E1CCCCE">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p>
    <w:p w14:paraId="69784D58">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重庆市丰都县武平镇履行职责事项清单</w:t>
      </w:r>
    </w:p>
    <w:p w14:paraId="7924331A">
      <w:pPr>
        <w:rPr>
          <w:rFonts w:ascii="方正公文小标宋" w:eastAsia="方正公文小标宋"/>
          <w:sz w:val="84"/>
          <w:szCs w:val="84"/>
          <w:lang w:eastAsia="zh-CN"/>
        </w:rPr>
      </w:pPr>
    </w:p>
    <w:p w14:paraId="13B64975">
      <w:pPr>
        <w:rPr>
          <w:rFonts w:ascii="方正公文小标宋" w:eastAsia="方正公文小标宋"/>
          <w:sz w:val="84"/>
          <w:szCs w:val="84"/>
          <w:lang w:eastAsia="zh-CN"/>
        </w:rPr>
      </w:pPr>
    </w:p>
    <w:p w14:paraId="1548C04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仿宋_GBK" w:cs="Times New Roman"/>
          <w:snapToGrid w:val="0"/>
          <w:color w:val="auto"/>
          <w:spacing w:val="7"/>
          <w:sz w:val="32"/>
          <w:szCs w:val="32"/>
          <w:lang w:val="zh-CN" w:eastAsia="en-US"/>
        </w:rPr>
      </w:sdtEndPr>
      <w:sdtContent>
        <w:p w14:paraId="29B4AD29">
          <w:pPr>
            <w:pStyle w:val="20"/>
            <w:jc w:val="center"/>
            <w:rPr>
              <w:rFonts w:hint="eastAsia" w:ascii="方正小标宋_GBK" w:hAnsi="方正小标宋_GBK" w:eastAsia="方正小标宋_GBK" w:cs="方正小标宋_GBK"/>
              <w:b w:val="0"/>
              <w:bCs w:val="0"/>
              <w:snapToGrid/>
              <w:color w:val="auto"/>
              <w:kern w:val="2"/>
              <w:sz w:val="44"/>
              <w:szCs w:val="44"/>
              <w:lang w:val="zh-CN" w:eastAsia="zh-CN" w:bidi="ar-SA"/>
            </w:rPr>
          </w:pPr>
          <w:r>
            <w:rPr>
              <w:rFonts w:hint="eastAsia" w:ascii="方正小标宋_GBK" w:hAnsi="方正小标宋_GBK" w:eastAsia="方正小标宋_GBK" w:cs="方正小标宋_GBK"/>
              <w:b w:val="0"/>
              <w:bCs w:val="0"/>
              <w:snapToGrid/>
              <w:color w:val="auto"/>
              <w:kern w:val="2"/>
              <w:sz w:val="44"/>
              <w:szCs w:val="44"/>
              <w:lang w:val="zh-CN" w:eastAsia="zh-CN" w:bidi="ar-SA"/>
            </w:rPr>
            <w:t>目  录</w:t>
          </w:r>
        </w:p>
        <w:p w14:paraId="1BB0B0AC">
          <w:pPr>
            <w:rPr>
              <w:rFonts w:hint="eastAsia"/>
              <w:lang w:val="zh-CN" w:eastAsia="zh-CN"/>
            </w:rPr>
          </w:pPr>
        </w:p>
        <w:p w14:paraId="623462B5">
          <w:pPr>
            <w:pStyle w:val="22"/>
            <w:keepNext w:val="0"/>
            <w:keepLines w:val="0"/>
            <w:pageBreakBefore w:val="0"/>
            <w:widowControl/>
            <w:tabs>
              <w:tab w:val="right" w:leader="dot" w:pos="14001"/>
            </w:tabs>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val="0"/>
              <w:bCs w:val="0"/>
              <w:color w:val="auto"/>
              <w:spacing w:val="7"/>
              <w:sz w:val="32"/>
              <w:szCs w:val="32"/>
              <w:lang w:val="en-US" w:eastAsia="zh-CN"/>
            </w:rPr>
          </w:pPr>
          <w:r>
            <w:rPr>
              <w:rFonts w:hint="default" w:ascii="Times New Roman" w:hAnsi="Times New Roman" w:eastAsia="方正仿宋_GBK" w:cs="Times New Roman"/>
              <w:b w:val="0"/>
              <w:bCs w:val="0"/>
              <w:color w:val="auto"/>
              <w:spacing w:val="7"/>
              <w:sz w:val="32"/>
              <w:szCs w:val="32"/>
              <w:lang w:val="en-US" w:eastAsia="zh-CN"/>
            </w:rPr>
            <w:t>1.</w:t>
          </w:r>
          <w:r>
            <w:rPr>
              <w:rFonts w:hint="default" w:ascii="Times New Roman" w:hAnsi="Times New Roman" w:eastAsia="方正仿宋_GBK" w:cs="Times New Roman"/>
              <w:b w:val="0"/>
              <w:bCs w:val="0"/>
              <w:color w:val="auto"/>
              <w:spacing w:val="7"/>
              <w:sz w:val="32"/>
              <w:szCs w:val="32"/>
              <w:lang w:val="en-US" w:eastAsia="zh-CN"/>
            </w:rPr>
            <w:fldChar w:fldCharType="begin"/>
          </w:r>
          <w:r>
            <w:rPr>
              <w:rFonts w:hint="default" w:ascii="Times New Roman" w:hAnsi="Times New Roman" w:eastAsia="方正仿宋_GBK" w:cs="Times New Roman"/>
              <w:b w:val="0"/>
              <w:bCs w:val="0"/>
              <w:color w:val="auto"/>
              <w:spacing w:val="7"/>
              <w:sz w:val="32"/>
              <w:szCs w:val="32"/>
              <w:lang w:val="en-US" w:eastAsia="zh-CN"/>
            </w:rPr>
            <w:instrText xml:space="preserve">TOC \o "1-1" \h \u </w:instrText>
          </w:r>
          <w:r>
            <w:rPr>
              <w:rFonts w:hint="default" w:ascii="Times New Roman" w:hAnsi="Times New Roman" w:eastAsia="方正仿宋_GBK" w:cs="Times New Roman"/>
              <w:b w:val="0"/>
              <w:bCs w:val="0"/>
              <w:color w:val="auto"/>
              <w:spacing w:val="7"/>
              <w:sz w:val="32"/>
              <w:szCs w:val="32"/>
              <w:lang w:val="en-US" w:eastAsia="zh-CN"/>
            </w:rPr>
            <w:fldChar w:fldCharType="separate"/>
          </w:r>
          <w:r>
            <w:rPr>
              <w:rFonts w:hint="default" w:ascii="Times New Roman" w:hAnsi="Times New Roman" w:eastAsia="方正仿宋_GBK" w:cs="Times New Roman"/>
              <w:b w:val="0"/>
              <w:bCs w:val="0"/>
              <w:color w:val="auto"/>
              <w:spacing w:val="7"/>
              <w:sz w:val="32"/>
              <w:szCs w:val="32"/>
              <w:lang w:val="en-US" w:eastAsia="zh-CN"/>
            </w:rPr>
            <w:fldChar w:fldCharType="begin"/>
          </w:r>
          <w:r>
            <w:rPr>
              <w:rFonts w:hint="default" w:ascii="Times New Roman" w:hAnsi="Times New Roman" w:eastAsia="方正仿宋_GBK" w:cs="Times New Roman"/>
              <w:b w:val="0"/>
              <w:bCs w:val="0"/>
              <w:color w:val="auto"/>
              <w:spacing w:val="7"/>
              <w:sz w:val="32"/>
              <w:szCs w:val="32"/>
              <w:lang w:val="en-US" w:eastAsia="zh-CN"/>
            </w:rPr>
            <w:instrText xml:space="preserve"> HYPERLINK \l _Toc14205 </w:instrText>
          </w:r>
          <w:r>
            <w:rPr>
              <w:rFonts w:hint="default" w:ascii="Times New Roman" w:hAnsi="Times New Roman" w:eastAsia="方正仿宋_GBK" w:cs="Times New Roman"/>
              <w:b w:val="0"/>
              <w:bCs w:val="0"/>
              <w:color w:val="auto"/>
              <w:spacing w:val="7"/>
              <w:sz w:val="32"/>
              <w:szCs w:val="32"/>
              <w:lang w:val="en-US" w:eastAsia="zh-CN"/>
            </w:rPr>
            <w:fldChar w:fldCharType="separate"/>
          </w:r>
          <w:r>
            <w:rPr>
              <w:rFonts w:hint="default" w:ascii="Times New Roman" w:hAnsi="Times New Roman" w:eastAsia="方正仿宋_GBK" w:cs="Times New Roman"/>
              <w:b w:val="0"/>
              <w:bCs w:val="0"/>
              <w:color w:val="auto"/>
              <w:spacing w:val="7"/>
              <w:sz w:val="32"/>
              <w:szCs w:val="32"/>
              <w:lang w:val="en-US" w:eastAsia="zh-CN"/>
            </w:rPr>
            <w:t>基本履职事项清单</w:t>
          </w:r>
          <w:r>
            <w:rPr>
              <w:rFonts w:hint="default" w:ascii="Times New Roman" w:hAnsi="Times New Roman" w:eastAsia="方正仿宋_GBK" w:cs="Times New Roman"/>
              <w:b w:val="0"/>
              <w:bCs w:val="0"/>
              <w:color w:val="auto"/>
              <w:spacing w:val="7"/>
              <w:sz w:val="32"/>
              <w:szCs w:val="32"/>
              <w:lang w:val="en-US" w:eastAsia="zh-CN"/>
            </w:rPr>
            <w:tab/>
          </w:r>
          <w:r>
            <w:rPr>
              <w:rFonts w:hint="eastAsia" w:ascii="Times New Roman" w:hAnsi="Times New Roman" w:eastAsia="方正仿宋_GBK" w:cs="Times New Roman"/>
              <w:b w:val="0"/>
              <w:bCs w:val="0"/>
              <w:color w:val="auto"/>
              <w:spacing w:val="7"/>
              <w:sz w:val="32"/>
              <w:szCs w:val="32"/>
              <w:lang w:val="en-US" w:eastAsia="zh-CN"/>
            </w:rPr>
            <w:t>1</w:t>
          </w:r>
          <w:r>
            <w:rPr>
              <w:rFonts w:hint="default" w:ascii="Times New Roman" w:hAnsi="Times New Roman" w:eastAsia="方正仿宋_GBK" w:cs="Times New Roman"/>
              <w:b w:val="0"/>
              <w:bCs w:val="0"/>
              <w:color w:val="auto"/>
              <w:spacing w:val="7"/>
              <w:sz w:val="32"/>
              <w:szCs w:val="32"/>
              <w:lang w:val="en-US" w:eastAsia="zh-CN"/>
            </w:rPr>
            <w:fldChar w:fldCharType="end"/>
          </w:r>
        </w:p>
        <w:p w14:paraId="61D02DFE">
          <w:pPr>
            <w:pStyle w:val="22"/>
            <w:keepNext w:val="0"/>
            <w:keepLines w:val="0"/>
            <w:pageBreakBefore w:val="0"/>
            <w:widowControl/>
            <w:tabs>
              <w:tab w:val="right" w:leader="dot" w:pos="14001"/>
            </w:tabs>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val="0"/>
              <w:bCs w:val="0"/>
              <w:color w:val="auto"/>
              <w:spacing w:val="7"/>
              <w:sz w:val="32"/>
              <w:szCs w:val="32"/>
              <w:lang w:val="en-US" w:eastAsia="zh-CN"/>
            </w:rPr>
          </w:pPr>
          <w:r>
            <w:rPr>
              <w:rFonts w:hint="default" w:ascii="Times New Roman" w:hAnsi="Times New Roman" w:eastAsia="方正仿宋_GBK" w:cs="Times New Roman"/>
              <w:b w:val="0"/>
              <w:bCs w:val="0"/>
              <w:color w:val="auto"/>
              <w:spacing w:val="7"/>
              <w:sz w:val="32"/>
              <w:szCs w:val="32"/>
              <w:lang w:val="en-US" w:eastAsia="zh-CN"/>
            </w:rPr>
            <w:t>2.</w:t>
          </w:r>
          <w:r>
            <w:rPr>
              <w:rFonts w:hint="default" w:ascii="Times New Roman" w:hAnsi="Times New Roman" w:eastAsia="方正仿宋_GBK" w:cs="Times New Roman"/>
              <w:b w:val="0"/>
              <w:bCs w:val="0"/>
              <w:color w:val="auto"/>
              <w:spacing w:val="7"/>
              <w:sz w:val="32"/>
              <w:szCs w:val="32"/>
              <w:lang w:val="en-US" w:eastAsia="zh-CN"/>
            </w:rPr>
            <w:fldChar w:fldCharType="begin"/>
          </w:r>
          <w:r>
            <w:rPr>
              <w:rFonts w:hint="default" w:ascii="Times New Roman" w:hAnsi="Times New Roman" w:eastAsia="方正仿宋_GBK" w:cs="Times New Roman"/>
              <w:b w:val="0"/>
              <w:bCs w:val="0"/>
              <w:color w:val="auto"/>
              <w:spacing w:val="7"/>
              <w:sz w:val="32"/>
              <w:szCs w:val="32"/>
              <w:lang w:val="en-US" w:eastAsia="zh-CN"/>
            </w:rPr>
            <w:instrText xml:space="preserve"> HYPERLINK \l _Toc9322 </w:instrText>
          </w:r>
          <w:r>
            <w:rPr>
              <w:rFonts w:hint="default" w:ascii="Times New Roman" w:hAnsi="Times New Roman" w:eastAsia="方正仿宋_GBK" w:cs="Times New Roman"/>
              <w:b w:val="0"/>
              <w:bCs w:val="0"/>
              <w:color w:val="auto"/>
              <w:spacing w:val="7"/>
              <w:sz w:val="32"/>
              <w:szCs w:val="32"/>
              <w:lang w:val="en-US" w:eastAsia="zh-CN"/>
            </w:rPr>
            <w:fldChar w:fldCharType="separate"/>
          </w:r>
          <w:r>
            <w:rPr>
              <w:rFonts w:hint="default" w:ascii="Times New Roman" w:hAnsi="Times New Roman" w:eastAsia="方正仿宋_GBK" w:cs="Times New Roman"/>
              <w:b w:val="0"/>
              <w:bCs w:val="0"/>
              <w:color w:val="auto"/>
              <w:spacing w:val="7"/>
              <w:sz w:val="32"/>
              <w:szCs w:val="32"/>
              <w:lang w:val="en-US" w:eastAsia="zh-CN"/>
            </w:rPr>
            <w:t>配合履职事项清单</w:t>
          </w:r>
          <w:r>
            <w:rPr>
              <w:rFonts w:hint="default" w:ascii="Times New Roman" w:hAnsi="Times New Roman" w:eastAsia="方正仿宋_GBK" w:cs="Times New Roman"/>
              <w:b w:val="0"/>
              <w:bCs w:val="0"/>
              <w:color w:val="auto"/>
              <w:spacing w:val="7"/>
              <w:sz w:val="32"/>
              <w:szCs w:val="32"/>
              <w:lang w:val="en-US" w:eastAsia="zh-CN"/>
            </w:rPr>
            <w:tab/>
          </w:r>
          <w:r>
            <w:rPr>
              <w:rFonts w:hint="default" w:ascii="Times New Roman" w:hAnsi="Times New Roman" w:eastAsia="方正仿宋_GBK" w:cs="Times New Roman"/>
              <w:b w:val="0"/>
              <w:bCs w:val="0"/>
              <w:color w:val="auto"/>
              <w:spacing w:val="7"/>
              <w:sz w:val="32"/>
              <w:szCs w:val="32"/>
              <w:lang w:val="en-US" w:eastAsia="zh-CN"/>
            </w:rPr>
            <w:t>1</w:t>
          </w:r>
          <w:r>
            <w:rPr>
              <w:rFonts w:hint="default" w:ascii="Times New Roman" w:hAnsi="Times New Roman" w:eastAsia="方正仿宋_GBK" w:cs="Times New Roman"/>
              <w:b w:val="0"/>
              <w:bCs w:val="0"/>
              <w:color w:val="auto"/>
              <w:spacing w:val="7"/>
              <w:sz w:val="32"/>
              <w:szCs w:val="32"/>
              <w:lang w:val="en-US" w:eastAsia="zh-CN"/>
            </w:rPr>
            <w:fldChar w:fldCharType="end"/>
          </w:r>
          <w:r>
            <w:rPr>
              <w:rFonts w:hint="eastAsia" w:ascii="Times New Roman" w:hAnsi="Times New Roman" w:eastAsia="方正仿宋_GBK" w:cs="Times New Roman"/>
              <w:b w:val="0"/>
              <w:bCs w:val="0"/>
              <w:color w:val="auto"/>
              <w:spacing w:val="7"/>
              <w:sz w:val="32"/>
              <w:szCs w:val="32"/>
              <w:lang w:val="en-US" w:eastAsia="zh-CN"/>
            </w:rPr>
            <w:t>1</w:t>
          </w:r>
        </w:p>
        <w:p w14:paraId="4DDED286">
          <w:pPr>
            <w:pStyle w:val="22"/>
            <w:keepNext w:val="0"/>
            <w:keepLines w:val="0"/>
            <w:pageBreakBefore w:val="0"/>
            <w:widowControl/>
            <w:tabs>
              <w:tab w:val="right" w:leader="dot" w:pos="14001"/>
            </w:tabs>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val="0"/>
              <w:bCs w:val="0"/>
              <w:color w:val="auto"/>
              <w:spacing w:val="7"/>
              <w:sz w:val="32"/>
              <w:szCs w:val="32"/>
              <w:lang w:val="en-US" w:eastAsia="zh-CN"/>
            </w:rPr>
          </w:pPr>
          <w:r>
            <w:rPr>
              <w:rFonts w:hint="default" w:ascii="Times New Roman" w:hAnsi="Times New Roman" w:eastAsia="方正仿宋_GBK" w:cs="Times New Roman"/>
              <w:b w:val="0"/>
              <w:bCs w:val="0"/>
              <w:color w:val="auto"/>
              <w:spacing w:val="7"/>
              <w:sz w:val="32"/>
              <w:szCs w:val="32"/>
              <w:lang w:val="en-US" w:eastAsia="zh-CN"/>
            </w:rPr>
            <w:t>3.</w:t>
          </w:r>
          <w:r>
            <w:rPr>
              <w:rFonts w:hint="default" w:ascii="Times New Roman" w:hAnsi="Times New Roman" w:eastAsia="方正仿宋_GBK" w:cs="Times New Roman"/>
              <w:b w:val="0"/>
              <w:bCs w:val="0"/>
              <w:color w:val="auto"/>
              <w:spacing w:val="7"/>
              <w:sz w:val="32"/>
              <w:szCs w:val="32"/>
              <w:lang w:val="en-US" w:eastAsia="zh-CN"/>
            </w:rPr>
            <w:fldChar w:fldCharType="begin"/>
          </w:r>
          <w:r>
            <w:rPr>
              <w:rFonts w:hint="default" w:ascii="Times New Roman" w:hAnsi="Times New Roman" w:eastAsia="方正仿宋_GBK" w:cs="Times New Roman"/>
              <w:b w:val="0"/>
              <w:bCs w:val="0"/>
              <w:color w:val="auto"/>
              <w:spacing w:val="7"/>
              <w:sz w:val="32"/>
              <w:szCs w:val="32"/>
              <w:lang w:val="en-US" w:eastAsia="zh-CN"/>
            </w:rPr>
            <w:instrText xml:space="preserve"> HYPERLINK \l _Toc23395 </w:instrText>
          </w:r>
          <w:r>
            <w:rPr>
              <w:rFonts w:hint="default" w:ascii="Times New Roman" w:hAnsi="Times New Roman" w:eastAsia="方正仿宋_GBK" w:cs="Times New Roman"/>
              <w:b w:val="0"/>
              <w:bCs w:val="0"/>
              <w:color w:val="auto"/>
              <w:spacing w:val="7"/>
              <w:sz w:val="32"/>
              <w:szCs w:val="32"/>
              <w:lang w:val="en-US" w:eastAsia="zh-CN"/>
            </w:rPr>
            <w:fldChar w:fldCharType="separate"/>
          </w:r>
          <w:r>
            <w:rPr>
              <w:rFonts w:hint="default" w:ascii="Times New Roman" w:hAnsi="Times New Roman" w:eastAsia="方正仿宋_GBK" w:cs="Times New Roman"/>
              <w:b w:val="0"/>
              <w:bCs w:val="0"/>
              <w:color w:val="auto"/>
              <w:spacing w:val="7"/>
              <w:sz w:val="32"/>
              <w:szCs w:val="32"/>
              <w:lang w:val="en-US" w:eastAsia="zh-CN"/>
            </w:rPr>
            <w:t>上级部门收回事项清单</w:t>
          </w:r>
          <w:r>
            <w:rPr>
              <w:rFonts w:hint="default" w:ascii="Times New Roman" w:hAnsi="Times New Roman" w:eastAsia="方正仿宋_GBK" w:cs="Times New Roman"/>
              <w:b w:val="0"/>
              <w:bCs w:val="0"/>
              <w:color w:val="auto"/>
              <w:spacing w:val="7"/>
              <w:sz w:val="32"/>
              <w:szCs w:val="32"/>
              <w:lang w:val="en-US" w:eastAsia="zh-CN"/>
            </w:rPr>
            <w:tab/>
          </w:r>
          <w:r>
            <w:rPr>
              <w:rFonts w:hint="eastAsia" w:ascii="Times New Roman" w:hAnsi="Times New Roman" w:eastAsia="方正仿宋_GBK" w:cs="Times New Roman"/>
              <w:b w:val="0"/>
              <w:bCs w:val="0"/>
              <w:color w:val="auto"/>
              <w:spacing w:val="7"/>
              <w:sz w:val="32"/>
              <w:szCs w:val="32"/>
              <w:lang w:val="en-US" w:eastAsia="zh-CN"/>
            </w:rPr>
            <w:t>5</w:t>
          </w:r>
          <w:r>
            <w:rPr>
              <w:rFonts w:hint="default" w:ascii="Times New Roman" w:hAnsi="Times New Roman" w:eastAsia="方正仿宋_GBK" w:cs="Times New Roman"/>
              <w:b w:val="0"/>
              <w:bCs w:val="0"/>
              <w:color w:val="auto"/>
              <w:spacing w:val="7"/>
              <w:sz w:val="32"/>
              <w:szCs w:val="32"/>
              <w:lang w:val="en-US" w:eastAsia="zh-CN"/>
            </w:rPr>
            <w:fldChar w:fldCharType="end"/>
          </w:r>
          <w:r>
            <w:rPr>
              <w:rFonts w:hint="eastAsia" w:ascii="Times New Roman" w:hAnsi="Times New Roman" w:eastAsia="方正仿宋_GBK" w:cs="Times New Roman"/>
              <w:b w:val="0"/>
              <w:bCs w:val="0"/>
              <w:color w:val="auto"/>
              <w:spacing w:val="7"/>
              <w:sz w:val="32"/>
              <w:szCs w:val="32"/>
              <w:lang w:val="en-US" w:eastAsia="zh-CN"/>
            </w:rPr>
            <w:t>8</w:t>
          </w:r>
        </w:p>
        <w:p w14:paraId="111ED4C0">
          <w:pPr>
            <w:pStyle w:val="22"/>
            <w:keepNext w:val="0"/>
            <w:keepLines w:val="0"/>
            <w:pageBreakBefore w:val="0"/>
            <w:widowControl/>
            <w:tabs>
              <w:tab w:val="right" w:leader="dot" w:pos="14001"/>
            </w:tabs>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pacing w:val="7"/>
              <w:sz w:val="32"/>
              <w:szCs w:val="32"/>
              <w:lang w:val="zh-CN" w:eastAsia="zh-CN"/>
            </w:rPr>
          </w:pPr>
          <w:r>
            <w:rPr>
              <w:rFonts w:hint="default" w:ascii="Times New Roman" w:hAnsi="Times New Roman" w:eastAsia="方正仿宋_GBK" w:cs="Times New Roman"/>
              <w:b w:val="0"/>
              <w:bCs w:val="0"/>
              <w:color w:val="auto"/>
              <w:spacing w:val="7"/>
              <w:sz w:val="32"/>
              <w:szCs w:val="32"/>
              <w:lang w:val="en-US" w:eastAsia="zh-CN"/>
            </w:rPr>
            <w:fldChar w:fldCharType="end"/>
          </w:r>
        </w:p>
      </w:sdtContent>
    </w:sdt>
    <w:p w14:paraId="01D375F1">
      <w:pPr>
        <w:pStyle w:val="7"/>
        <w:jc w:val="both"/>
        <w:rPr>
          <w:rFonts w:ascii="Times New Roman" w:hAnsi="Times New Roman" w:eastAsia="方正小标宋_GBK" w:cs="Times New Roman"/>
          <w:color w:val="auto"/>
          <w:spacing w:val="7"/>
          <w:sz w:val="44"/>
          <w:szCs w:val="44"/>
          <w:lang w:eastAsia="zh-CN"/>
        </w:rPr>
      </w:pPr>
    </w:p>
    <w:p w14:paraId="1DE418F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8DCADE7">
      <w:pPr>
        <w:pStyle w:val="2"/>
        <w:widowControl w:val="0"/>
        <w:kinsoku/>
        <w:autoSpaceDE/>
        <w:autoSpaceDN/>
        <w:adjustRightInd/>
        <w:snapToGrid/>
        <w:spacing w:before="0" w:after="0" w:line="240" w:lineRule="auto"/>
        <w:jc w:val="center"/>
        <w:textAlignment w:val="auto"/>
        <w:rPr>
          <w:rFonts w:hint="eastAsia" w:ascii="方正小标宋_GBK" w:hAnsi="Calibri" w:eastAsia="方正小标宋_GBK" w:cs="方正小标宋_GBK"/>
          <w:b w:val="0"/>
          <w:snapToGrid/>
          <w:lang w:eastAsia="zh-CN"/>
        </w:rPr>
      </w:pPr>
      <w:bookmarkStart w:id="0" w:name="_Toc172077416"/>
      <w:bookmarkStart w:id="1" w:name="_Toc172533652"/>
      <w:bookmarkStart w:id="2" w:name="_Toc172077551"/>
      <w:bookmarkStart w:id="3" w:name="_Toc172077949"/>
      <w:r>
        <w:rPr>
          <w:rFonts w:hint="eastAsia" w:ascii="方正小标宋_GBK" w:hAnsi="Calibri" w:eastAsia="方正小标宋_GBK" w:cs="方正小标宋_GBK"/>
          <w:b w:val="0"/>
          <w:snapToGrid/>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6F8315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93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center"/>
              <w:textAlignment w:val="auto"/>
              <w:rPr>
                <w:rFonts w:hint="eastAsia" w:ascii="方正黑体_GBK" w:hAnsi="方正黑体_GBK" w:eastAsia="方正黑体_GBK" w:cs="方正黑体_GBK"/>
                <w:b w:val="0"/>
                <w:bCs w:val="0"/>
                <w:i w:val="0"/>
                <w:iCs w:val="0"/>
                <w:strike w:val="0"/>
                <w:dstrike w:val="0"/>
                <w:snapToGrid/>
                <w:color w:val="auto"/>
                <w:kern w:val="2"/>
                <w:sz w:val="21"/>
                <w:szCs w:val="21"/>
                <w:lang w:eastAsia="zh-CN" w:bidi="ar"/>
              </w:rPr>
            </w:pPr>
            <w:r>
              <w:rPr>
                <w:rFonts w:hint="eastAsia" w:ascii="方正黑体_GBK" w:hAnsi="方正黑体_GBK" w:eastAsia="方正黑体_GBK" w:cs="方正黑体_GBK"/>
                <w:b w:val="0"/>
                <w:bCs w:val="0"/>
                <w:i w:val="0"/>
                <w:iCs w:val="0"/>
                <w:strike w:val="0"/>
                <w:dstrike w:val="0"/>
                <w:snapToGrid/>
                <w:color w:val="auto"/>
                <w:kern w:val="2"/>
                <w:sz w:val="21"/>
                <w:szCs w:val="21"/>
                <w:u w:val="none"/>
                <w:lang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621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center"/>
              <w:textAlignment w:val="auto"/>
              <w:rPr>
                <w:rFonts w:hint="eastAsia" w:ascii="方正黑体_GBK" w:hAnsi="方正黑体_GBK" w:eastAsia="方正黑体_GBK" w:cs="方正黑体_GBK"/>
                <w:b w:val="0"/>
                <w:bCs w:val="0"/>
                <w:i w:val="0"/>
                <w:iCs w:val="0"/>
                <w:strike w:val="0"/>
                <w:dstrike w:val="0"/>
                <w:snapToGrid/>
                <w:color w:val="auto"/>
                <w:kern w:val="2"/>
                <w:sz w:val="21"/>
                <w:szCs w:val="21"/>
                <w:lang w:eastAsia="zh-CN" w:bidi="ar"/>
              </w:rPr>
            </w:pPr>
            <w:r>
              <w:rPr>
                <w:rFonts w:hint="eastAsia" w:ascii="方正黑体_GBK" w:hAnsi="方正黑体_GBK" w:eastAsia="方正黑体_GBK" w:cs="方正黑体_GBK"/>
                <w:b w:val="0"/>
                <w:bCs w:val="0"/>
                <w:i w:val="0"/>
                <w:iCs w:val="0"/>
                <w:strike w:val="0"/>
                <w:dstrike w:val="0"/>
                <w:snapToGrid/>
                <w:color w:val="auto"/>
                <w:kern w:val="2"/>
                <w:sz w:val="21"/>
                <w:szCs w:val="21"/>
                <w:u w:val="none"/>
                <w:lang w:eastAsia="zh-CN" w:bidi="ar"/>
              </w:rPr>
              <w:t>事项名称</w:t>
            </w:r>
          </w:p>
        </w:tc>
      </w:tr>
      <w:tr w14:paraId="1B7A4C3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2AE7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一、党的建设（2</w:t>
            </w:r>
            <w:r>
              <w:rPr>
                <w:rFonts w:hint="eastAsia" w:ascii="Times New Roman" w:hAnsi="Times New Roman" w:eastAsia="方正黑体_GBK" w:cs="Times New Roman"/>
                <w:b w:val="0"/>
                <w:bCs w:val="0"/>
                <w:i w:val="0"/>
                <w:iCs w:val="0"/>
                <w:strike w:val="0"/>
                <w:dstrike w:val="0"/>
                <w:snapToGrid/>
                <w:color w:val="auto"/>
                <w:kern w:val="2"/>
                <w:sz w:val="21"/>
                <w:szCs w:val="21"/>
                <w:u w:val="none"/>
                <w:lang w:val="en-US" w:eastAsia="zh-CN" w:bidi="ar"/>
              </w:rPr>
              <w:t>3</w:t>
            </w: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项）</w:t>
            </w:r>
          </w:p>
        </w:tc>
      </w:tr>
      <w:tr w14:paraId="1B8A36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F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A2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590C2C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EE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82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236D68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77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62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09D554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D0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7B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5EACE5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EB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66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2F92E3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83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A8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4A446C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7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1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4E5ECB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AD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C8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224B5D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CC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FA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45E6E5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3F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7F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24C7A5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8E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FE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2EAA5C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7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7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1889BF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6B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D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2F0218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54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7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5F899F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F6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456E7C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3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0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10263A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BD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5E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0E0084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5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C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27D8D7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75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760490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1A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D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09AAC2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C8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F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5C3C42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C3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5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42A2C5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ED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1A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694546D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3F7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二、经济发展（10项）</w:t>
            </w:r>
          </w:p>
        </w:tc>
      </w:tr>
      <w:tr w14:paraId="716392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B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26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5101EB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88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E5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3F4EDA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6E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D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789051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9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10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4336CD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A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5C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27C200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0E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86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259631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ED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F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356CEE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5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1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29CFBE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19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38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5F1EA1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1F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5E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负责推进本镇香葱、油茶、烤烟、茶园白酒等特色产业发展。</w:t>
            </w:r>
          </w:p>
        </w:tc>
      </w:tr>
      <w:tr w14:paraId="79F1B64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EB9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三、民生服务（15项）</w:t>
            </w:r>
          </w:p>
        </w:tc>
      </w:tr>
      <w:tr w14:paraId="395112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7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8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5FCF7B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9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9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5C2818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5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7C2A07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2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07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6B6F35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83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2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57EBBD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BA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0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0F9251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F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EC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77219D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9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E6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447059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F9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9A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1F7AE4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F2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48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3EB6E4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AE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6A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3F4091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09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D5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2FDB53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8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53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0A6B82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0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EF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566B93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B6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1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626FA43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A69D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四、平安法治（16项）</w:t>
            </w:r>
          </w:p>
        </w:tc>
      </w:tr>
      <w:tr w14:paraId="5105BC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4D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EB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3820C3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A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99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102DE5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98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C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3C94E5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A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E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73CCDE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24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8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3441D5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74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FB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2B094B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3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6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02ED63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D9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EE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1F4BF6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E2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D9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1165E5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F8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42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43EA5A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7D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6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05CF9D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1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7A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11764D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6E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D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16D0F4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22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44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3CB714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CE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B5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28266A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9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2F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4833288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E98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五、乡村振兴（8项）</w:t>
            </w:r>
          </w:p>
        </w:tc>
      </w:tr>
      <w:tr w14:paraId="129435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1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44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183AFD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6E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FC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7CEE23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77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CA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65D756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3F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F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69E5A1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8F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8E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4019B2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2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77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7A5729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F1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2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0FFF16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B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62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20B1B50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438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六、生态环保（4项）</w:t>
            </w:r>
          </w:p>
        </w:tc>
      </w:tr>
      <w:tr w14:paraId="0588AB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DD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A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7D499C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E4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39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14B790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9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16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40C29E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3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73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3F01E9A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437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七、城乡建设（6项）</w:t>
            </w:r>
          </w:p>
        </w:tc>
      </w:tr>
      <w:tr w14:paraId="079E96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C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4B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75AC2C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33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7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047DC7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7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5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3D1620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7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0A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678067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C0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4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5A6A23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4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C8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72F977D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2A6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八、文化和旅游（2项）</w:t>
            </w:r>
          </w:p>
        </w:tc>
      </w:tr>
      <w:tr w14:paraId="38DBFD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25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F2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36E19F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06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00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打造雪玉山露营节文旅品牌，深挖红色资源，推进高山康养度假旅游产业发展。</w:t>
            </w:r>
          </w:p>
        </w:tc>
      </w:tr>
      <w:tr w14:paraId="68C4AF7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B76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九、综合政务（9项）</w:t>
            </w:r>
          </w:p>
        </w:tc>
      </w:tr>
      <w:tr w14:paraId="29C96A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E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C0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01F868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4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BD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28E9AF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F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F2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0C369C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7B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F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6F91B5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B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49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138C5A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E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C0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02DFAE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D4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F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664017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A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DB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056427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7A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36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7C788812">
      <w:pPr>
        <w:pStyle w:val="2"/>
        <w:spacing w:before="0" w:after="0" w:line="240" w:lineRule="auto"/>
        <w:jc w:val="center"/>
        <w:rPr>
          <w:rFonts w:hint="eastAsia" w:ascii="方正小标宋_GBK" w:hAnsi="宋体" w:eastAsia="方正小标宋_GBK" w:cs="方正小标宋_GBK"/>
          <w:b w:val="0"/>
          <w:snapToGrid/>
          <w:lang w:eastAsia="zh-CN"/>
        </w:rPr>
      </w:pPr>
      <w:r>
        <w:rPr>
          <w:rFonts w:hint="eastAsia" w:ascii="方正仿宋_GBK" w:hAnsi="方正仿宋_GBK" w:eastAsia="方正仿宋_GBK" w:cs="方正仿宋_GBK"/>
          <w:color w:val="auto"/>
          <w:sz w:val="21"/>
          <w:szCs w:val="21"/>
          <w:lang w:eastAsia="zh-CN" w:bidi="ar"/>
        </w:rPr>
        <w:br w:type="page"/>
      </w:r>
      <w:bookmarkStart w:id="4" w:name="_Toc172077950"/>
      <w:bookmarkStart w:id="5" w:name="_Toc172533653"/>
      <w:bookmarkStart w:id="6" w:name="_Toc172077417"/>
      <w:bookmarkStart w:id="7" w:name="_Toc172077552"/>
      <w:r>
        <w:rPr>
          <w:rFonts w:hint="eastAsia" w:ascii="方正小标宋_GBK" w:hAnsi="宋体" w:eastAsia="方正小标宋_GBK" w:cs="方正小标宋_GBK"/>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F871404">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80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bidi="ar"/>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63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bidi="ar"/>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98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bidi="ar"/>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51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bidi="ar"/>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BA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bidi="ar"/>
              </w:rPr>
            </w:pPr>
            <w:r>
              <w:rPr>
                <w:rFonts w:hint="eastAsia" w:ascii="方正黑体_GBK" w:hAnsi="方正黑体_GBK" w:eastAsia="方正黑体_GBK" w:cs="方正黑体_GBK"/>
                <w:b w:val="0"/>
                <w:bCs w:val="0"/>
                <w:snapToGrid w:val="0"/>
                <w:color w:val="auto"/>
                <w:kern w:val="0"/>
                <w:sz w:val="21"/>
                <w:szCs w:val="21"/>
                <w:lang w:eastAsia="zh-CN" w:bidi="ar"/>
              </w:rPr>
              <w:t>镇配合职责</w:t>
            </w:r>
          </w:p>
        </w:tc>
      </w:tr>
      <w:tr w14:paraId="0AF6B8F8">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8B0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一、经济发展（6项）</w:t>
            </w:r>
          </w:p>
        </w:tc>
      </w:tr>
      <w:tr w14:paraId="35CD9DF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E7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B5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3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
</w:t>
            </w:r>
          </w:p>
          <w:p w14:paraId="371C3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53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A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2C92678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30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90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7B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208221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89DE0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县住房城乡建委县应急管理局</w:t>
            </w:r>
          </w:p>
          <w:p w14:paraId="472978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B0007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1C7D3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B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21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7B7E1E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3C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EE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1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1EF65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A6B33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686876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019FF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7188E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04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2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750A4C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5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7C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CE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26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88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5D3262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94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2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E3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F6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94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5B5BC9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8E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92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DF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1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FD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57BB6C02">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95C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二、民生服务（</w:t>
            </w:r>
            <w:r>
              <w:rPr>
                <w:rFonts w:hint="eastAsia" w:ascii="Times New Roman" w:hAnsi="Times New Roman" w:eastAsia="方正黑体_GBK" w:cs="Times New Roman"/>
                <w:b w:val="0"/>
                <w:bCs w:val="0"/>
                <w:snapToGrid w:val="0"/>
                <w:color w:val="auto"/>
                <w:kern w:val="0"/>
                <w:sz w:val="21"/>
                <w:szCs w:val="21"/>
                <w:lang w:val="en-US" w:eastAsia="zh-CN" w:bidi="ar"/>
              </w:rPr>
              <w:t>19</w:t>
            </w:r>
            <w:r>
              <w:rPr>
                <w:rFonts w:hint="default" w:ascii="Times New Roman" w:hAnsi="Times New Roman" w:eastAsia="方正黑体_GBK" w:cs="Times New Roman"/>
                <w:b w:val="0"/>
                <w:bCs w:val="0"/>
                <w:snapToGrid w:val="0"/>
                <w:color w:val="auto"/>
                <w:kern w:val="0"/>
                <w:sz w:val="21"/>
                <w:szCs w:val="21"/>
                <w:lang w:eastAsia="en-US" w:bidi="ar"/>
              </w:rPr>
              <w:t>项）</w:t>
            </w:r>
          </w:p>
        </w:tc>
      </w:tr>
      <w:tr w14:paraId="14FFBFE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F7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EE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AD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8C4F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7CF80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0D4A57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
</w:t>
            </w:r>
          </w:p>
          <w:p w14:paraId="3A18A8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1A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E7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319FF98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EE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5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8F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C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C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66667DB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46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B3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9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5A6944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28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A2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4CB220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38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52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AA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5BE960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
</w:t>
            </w:r>
          </w:p>
          <w:p w14:paraId="5EFDA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
</w:t>
            </w:r>
          </w:p>
          <w:p w14:paraId="0911A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
</w:t>
            </w:r>
          </w:p>
          <w:p w14:paraId="34F678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49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1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4D8266C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21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5C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E0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
</w:t>
            </w:r>
          </w:p>
          <w:p w14:paraId="0E7D4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05C0BB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3016E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16BDB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8927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县住房城乡建委县发展改革委</w:t>
            </w:r>
          </w:p>
          <w:p w14:paraId="4C6838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11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0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0DC8216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C4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B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1C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BE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BF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3A9B10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2A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C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83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64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8E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43A2DFF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BA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03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29D25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1A7C7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4ECACB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县住房城乡建委县卫生健康委</w:t>
            </w:r>
          </w:p>
          <w:p w14:paraId="77749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48E85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0F342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554D0C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F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52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580E07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1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AC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36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B2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A4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7014E89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E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24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B3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9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5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586B9DB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4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27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FC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2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8E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26EEC9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29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E0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56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12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DA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193C68C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B3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8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4C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E6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60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1895B0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6A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4D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E5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9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5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387827E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EC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75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8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8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E2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78EF61A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6D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B5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3C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8DF14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CE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42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7D4F944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27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D4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3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4CE67B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46D76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C214B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EB694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B64F8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23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CE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36DD53A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B4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3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3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9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2C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24ACBC3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1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A3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F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5C3FC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00E1A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7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42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5CBA475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829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三、平安法治（</w:t>
            </w:r>
            <w:r>
              <w:rPr>
                <w:rFonts w:hint="eastAsia" w:ascii="Times New Roman" w:hAnsi="Times New Roman" w:eastAsia="方正黑体_GBK" w:cs="Times New Roman"/>
                <w:b w:val="0"/>
                <w:bCs w:val="0"/>
                <w:snapToGrid w:val="0"/>
                <w:color w:val="auto"/>
                <w:kern w:val="0"/>
                <w:sz w:val="21"/>
                <w:szCs w:val="21"/>
                <w:lang w:val="en-US" w:eastAsia="zh-CN" w:bidi="ar"/>
              </w:rPr>
              <w:t>16</w:t>
            </w:r>
            <w:r>
              <w:rPr>
                <w:rFonts w:hint="default" w:ascii="Times New Roman" w:hAnsi="Times New Roman" w:eastAsia="方正黑体_GBK" w:cs="Times New Roman"/>
                <w:b w:val="0"/>
                <w:bCs w:val="0"/>
                <w:snapToGrid w:val="0"/>
                <w:color w:val="auto"/>
                <w:kern w:val="0"/>
                <w:sz w:val="21"/>
                <w:szCs w:val="21"/>
                <w:lang w:eastAsia="en-US" w:bidi="ar"/>
              </w:rPr>
              <w:t>项）</w:t>
            </w:r>
          </w:p>
        </w:tc>
      </w:tr>
      <w:tr w14:paraId="04DA862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54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C3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DA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390388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CC221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5065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22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C6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6E83F2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A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2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5A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7036C2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3774FF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76B2EA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1836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BC7DE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B3BFC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8887D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2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10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61AEF2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7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BB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CC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1361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9065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082A6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673BB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DA284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A4BF2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EF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9A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2419C9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8D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E1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F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16377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7C19A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E66E8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F3CF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D6F2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6A2CD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8F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C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224517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48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04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94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473D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7C99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DE9FC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61572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B833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51E65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12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7B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146E8E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6F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97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D7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93C58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F4482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EA42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5C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FC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0B4B7D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03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9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6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7F0E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0C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5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305DAA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D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3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C5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F275B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0B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DB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08E927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5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AF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BE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28ADD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46C7D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BC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E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5864CF5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B4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D4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25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494648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0A9DD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7C7D9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14ACD6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A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71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24C1EDC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06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12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D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1943A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4886D5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5227B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68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36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4896E0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11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B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FA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67A6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4F2E43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BB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B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197EAAE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7D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A2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EE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0E603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D02A6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4AA17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BFBFF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D3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00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4144C8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FC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A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51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C7D30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B868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6AD53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C8F9C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B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D6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5C7C2E0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26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FE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E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B9C03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62108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E34E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9AB7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04066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19D542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3946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9FE6E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EC787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66A08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286CE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16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8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12B49D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37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1A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3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E3671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5FF490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EEB9D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D04BC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A5A2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21B2E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7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A1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343C7BD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E1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22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DC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193D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6FF840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BE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FB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1CB2EAB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22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eastAsia" w:ascii="Times New Roman" w:hAnsi="Times New Roman" w:eastAsia="方正仿宋_GBK" w:cs="Times New Roman"/>
                <w:b w:val="0"/>
                <w:bCs w:val="0"/>
                <w:snapToGrid w:val="0"/>
                <w:color w:val="auto"/>
                <w:kern w:val="0"/>
                <w:sz w:val="21"/>
                <w:szCs w:val="21"/>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12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14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F9097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1CAD5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210EE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14D50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624B3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78C69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DBB8B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4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8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111B2E4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4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A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42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8E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B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11B91A4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B3D8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四、乡村振兴（4项）</w:t>
            </w:r>
          </w:p>
        </w:tc>
      </w:tr>
      <w:tr w14:paraId="3BAACE0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B9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5A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2B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52128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F4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73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4B1D139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31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7E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5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BA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C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610D38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70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F9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0A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B8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63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28CB468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B9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58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3C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2DD16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7A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7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58DA174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3740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五、生态环保（8项）</w:t>
            </w:r>
          </w:p>
        </w:tc>
      </w:tr>
      <w:tr w14:paraId="1EEF46E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40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C8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95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4EF09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ACC9C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40B8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D979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BB7AE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F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4C5066C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C8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89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C9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D468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4A0E2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CAE5E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1269F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A5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96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344CA6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CB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4B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49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713BC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28DD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42C92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76FB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2B7732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C8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02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5E9175C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7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B3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EC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0A4A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67035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201417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7D00A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4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6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42BE5B5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82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E2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2D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A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87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2AF5441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56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9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E7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FF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18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172D381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09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D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0E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34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63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5D9B040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15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CD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6D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8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9E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599602B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A64F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六、城乡建设（6项）</w:t>
            </w:r>
          </w:p>
        </w:tc>
      </w:tr>
      <w:tr w14:paraId="73384C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67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C2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B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3A51B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1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C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5AE8B8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2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6E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8C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6C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FE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1F1AEA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85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38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E5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4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3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31D6109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1C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6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45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7289D6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176E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55F69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64558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08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21C119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91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501F42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6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7E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4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177A17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FE718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
</w:t>
            </w:r>
          </w:p>
          <w:p w14:paraId="2C975D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93A9E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A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6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7C31C7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31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8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39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45FC9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7B184E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32959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11057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E4B1E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7CE77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8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E9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10924C4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E746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七、文化和旅游（4项）</w:t>
            </w:r>
          </w:p>
        </w:tc>
      </w:tr>
      <w:tr w14:paraId="3C9EB39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E0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eastAsia" w:ascii="Times New Roman" w:hAnsi="Times New Roman" w:eastAsia="方正仿宋_GBK" w:cs="Times New Roman"/>
                <w:b w:val="0"/>
                <w:bCs w:val="0"/>
                <w:snapToGrid w:val="0"/>
                <w:color w:val="auto"/>
                <w:kern w:val="0"/>
                <w:sz w:val="21"/>
                <w:szCs w:val="21"/>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7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BE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7F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2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1173E69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26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8E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D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00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DE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35BFF63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A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63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3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38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11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7B5A63C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50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6F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2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B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9B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69076DCE">
      <w:pPr>
        <w:pStyle w:val="2"/>
        <w:spacing w:before="0" w:after="0" w:line="240" w:lineRule="auto"/>
        <w:jc w:val="center"/>
        <w:rPr>
          <w:rFonts w:hint="eastAsia" w:ascii="方正小标宋_GBK" w:hAnsi="宋体" w:eastAsia="方正小标宋_GBK" w:cs="方正小标宋_GBK"/>
          <w:b w:val="0"/>
          <w:snapToGrid/>
          <w:lang w:eastAsia="zh-CN"/>
        </w:rPr>
      </w:pPr>
      <w:r>
        <w:rPr>
          <w:rFonts w:hint="eastAsia" w:ascii="方正仿宋_GBK" w:hAnsi="方正仿宋_GBK" w:eastAsia="方正仿宋_GBK" w:cs="方正仿宋_GBK"/>
          <w:color w:val="auto"/>
          <w:spacing w:val="7"/>
          <w:sz w:val="21"/>
          <w:szCs w:val="21"/>
          <w:lang w:eastAsia="zh-CN"/>
        </w:rPr>
        <w:br w:type="page"/>
      </w:r>
      <w:bookmarkStart w:id="8" w:name="_Toc172077418"/>
      <w:bookmarkStart w:id="9" w:name="_Toc172533654"/>
      <w:bookmarkStart w:id="10" w:name="_Toc172077553"/>
      <w:bookmarkStart w:id="11" w:name="_Toc172077951"/>
      <w:r>
        <w:rPr>
          <w:rFonts w:hint="eastAsia" w:ascii="方正小标宋_GBK" w:hAnsi="宋体" w:eastAsia="方正小标宋_GBK" w:cs="方正小标宋_GBK"/>
          <w:b w:val="0"/>
          <w:snapToGrid/>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CA74D9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B5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Times New Roman" w:hAnsi="Times New Roman" w:eastAsia="方正黑体_GBK" w:cs="Times New Roman"/>
                <w:b w:val="0"/>
                <w:bCs w:val="0"/>
                <w:snapToGrid w:val="0"/>
                <w:color w:val="auto"/>
                <w:kern w:val="0"/>
                <w:sz w:val="21"/>
                <w:szCs w:val="21"/>
                <w:lang w:eastAsia="zh-CN" w:bidi="ar"/>
              </w:rPr>
            </w:pPr>
            <w:r>
              <w:rPr>
                <w:rFonts w:hint="eastAsia"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4E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Times New Roman" w:hAnsi="Times New Roman" w:eastAsia="方正黑体_GBK" w:cs="Times New Roman"/>
                <w:b w:val="0"/>
                <w:bCs w:val="0"/>
                <w:snapToGrid w:val="0"/>
                <w:color w:val="auto"/>
                <w:kern w:val="0"/>
                <w:sz w:val="21"/>
                <w:szCs w:val="21"/>
                <w:lang w:eastAsia="zh-CN" w:bidi="ar"/>
              </w:rPr>
            </w:pPr>
            <w:r>
              <w:rPr>
                <w:rFonts w:hint="eastAsia"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FFA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Times New Roman" w:hAnsi="Times New Roman" w:eastAsia="方正黑体_GBK" w:cs="Times New Roman"/>
                <w:b w:val="0"/>
                <w:bCs w:val="0"/>
                <w:snapToGrid w:val="0"/>
                <w:color w:val="auto"/>
                <w:kern w:val="0"/>
                <w:sz w:val="21"/>
                <w:szCs w:val="21"/>
                <w:lang w:eastAsia="zh-CN" w:bidi="ar"/>
              </w:rPr>
            </w:pPr>
            <w:r>
              <w:rPr>
                <w:rFonts w:hint="eastAsia" w:ascii="Times New Roman" w:hAnsi="Times New Roman" w:eastAsia="方正黑体_GBK" w:cs="Times New Roman"/>
                <w:b w:val="0"/>
                <w:bCs w:val="0"/>
                <w:snapToGrid w:val="0"/>
                <w:color w:val="auto"/>
                <w:kern w:val="0"/>
                <w:sz w:val="21"/>
                <w:szCs w:val="21"/>
                <w:lang w:eastAsia="zh-CN" w:bidi="ar"/>
              </w:rPr>
              <w:t>承接部门及工作方式</w:t>
            </w:r>
          </w:p>
        </w:tc>
      </w:tr>
      <w:tr w14:paraId="1610677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482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lang w:eastAsia="zh-CN" w:bidi="ar"/>
              </w:rPr>
              <w:t>一、经济发展（13项）</w:t>
            </w:r>
          </w:p>
        </w:tc>
      </w:tr>
      <w:tr w14:paraId="10982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26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E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2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1.加强动植物检疫，普及宣传外来入侵物种危害及防控知识。</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2.建立外来入侵物种监测网络。</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3.制定外来入侵物种应急预案，组织清除行动。</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4.推广防治技术。</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5.监管农业经营主体，联合相关部门执法。</w:t>
            </w:r>
          </w:p>
        </w:tc>
      </w:tr>
      <w:tr w14:paraId="6DFB5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8B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8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FD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26899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41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AA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67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1.购买社会化服务。委托三方机构开展水生动物疫病调查、检测等。</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2.建立县、乡镇（街道）渔业灾害病害以及水生动物疫情信息共享机制。</w:t>
            </w:r>
          </w:p>
        </w:tc>
      </w:tr>
      <w:tr w14:paraId="6EEC2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4C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40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05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1.发布水产相关信息。</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2.为养殖户提供技术培训、发放水产养殖技术宣传资料。</w:t>
            </w:r>
          </w:p>
        </w:tc>
      </w:tr>
      <w:tr w14:paraId="5C9A5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08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3D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9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1.实行分片区检疫。</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2.由县动物卫生监督所指派官方兽医实施。</w:t>
            </w:r>
          </w:p>
        </w:tc>
      </w:tr>
      <w:tr w14:paraId="52DEE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9F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D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EA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1.购买社会化服务，委托三方机构组织实施。</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2.建立县、乡镇（街道）动物疫情信息共享机制。</w:t>
            </w:r>
          </w:p>
        </w:tc>
      </w:tr>
      <w:tr w14:paraId="2818E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5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5A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1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1.开展畜牧品种资源的调查、收集、整理、保护和开发利用。</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2.开展畜牧新品种、新品系的引进、试验工作。</w:t>
            </w:r>
          </w:p>
        </w:tc>
      </w:tr>
      <w:tr w14:paraId="673A3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70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6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bidi="ar"/>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承接部门：县农业农村委、县生态环境局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1.负责结合本地实际情况，推广适合规模以下养殖的废弃物综合利用实用技术和模式。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3.培训和指导乡镇（街道）技术人员开展规模以下畜禽粪污资源化利用。</w:t>
            </w:r>
          </w:p>
          <w:p w14:paraId="4A3BF7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bidi="ar"/>
              </w:rPr>
            </w:pPr>
            <w:r>
              <w:rPr>
                <w:rFonts w:hint="eastAsia" w:ascii="方正仿宋_GBK" w:hAnsi="方正仿宋_GBK" w:eastAsia="方正仿宋_GBK" w:cs="方正仿宋_GBK"/>
                <w:b w:val="0"/>
                <w:bCs w:val="0"/>
                <w:snapToGrid w:val="0"/>
                <w:color w:val="auto"/>
                <w:kern w:val="0"/>
                <w:sz w:val="21"/>
                <w:szCs w:val="21"/>
                <w:lang w:eastAsia="en-US" w:bidi="ar"/>
              </w:rPr>
              <w:t>县生态环境局：</w:t>
            </w:r>
          </w:p>
          <w:p w14:paraId="5D6C16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5C5B9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BD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E9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C8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1.制定年度农机安全生产监督检查方案，明确检查重点、频次及责任分工。</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2.开展春耕、三夏、秋收等农忙季节专项检查，重点查处无牌行驶、无证驾驶、违法载人等行为。</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3.对乡镇（街道）农机安全资料清单开展检查。</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4.召开农机安全工作会议。</w:t>
            </w:r>
          </w:p>
        </w:tc>
      </w:tr>
      <w:tr w14:paraId="57986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4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10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0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负责国家二级保护野生植物（农业类）采集的初审工作。</w:t>
            </w:r>
          </w:p>
        </w:tc>
      </w:tr>
      <w:tr w14:paraId="6C1D8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AA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6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2E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1.购买社会化服务，委托三方机构组织实施。</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2.建立县、乡镇（街道）水产养殖病害防治及水生动物疫情信息共享机制。</w:t>
            </w:r>
          </w:p>
        </w:tc>
      </w:tr>
      <w:tr w14:paraId="04172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82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70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CC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承接部门：县水利局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1.受理取水申请，审核相关材料。</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2.建立取水许可档案，定期更新取水台账系统。</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3.对纳入许可管理的单位实施年度取水计划管理，监测实施取水量。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4.检查取水计量设施运行、节水措施执行及退水处理情况，查处超量取水等违法行为。</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5.根据水源变化或政策要求，核减或限制取水量，处理许可证延续、注销等事项。</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6.向取水单位普及节水技术，推广水平衡测试，协助完成水资源论证。</w:t>
            </w:r>
          </w:p>
        </w:tc>
      </w:tr>
      <w:tr w14:paraId="56520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0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F2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31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承接部门：县规划自然资源局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1.负责集体土地所有权权属调查与确认。</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2.受理与审核农村集体经济组织提交的登记申请材料。</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3.颁发《不动产权证书》及建立集体土地所有权登记档案。</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4.开展土地管理法律法规和政策宣传。</w:t>
            </w:r>
          </w:p>
        </w:tc>
      </w:tr>
      <w:tr w14:paraId="679CF02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B597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二、民生服务（1</w:t>
            </w:r>
            <w:r>
              <w:rPr>
                <w:rFonts w:hint="eastAsia" w:ascii="Times New Roman" w:hAnsi="Times New Roman" w:eastAsia="方正黑体_GBK" w:cs="Times New Roman"/>
                <w:b w:val="0"/>
                <w:bCs w:val="0"/>
                <w:snapToGrid w:val="0"/>
                <w:color w:val="auto"/>
                <w:kern w:val="0"/>
                <w:sz w:val="21"/>
                <w:szCs w:val="21"/>
                <w:lang w:val="en-US" w:eastAsia="zh-CN" w:bidi="ar"/>
              </w:rPr>
              <w:t>4</w:t>
            </w:r>
            <w:r>
              <w:rPr>
                <w:rFonts w:hint="default" w:ascii="Times New Roman" w:hAnsi="Times New Roman" w:eastAsia="方正黑体_GBK" w:cs="Times New Roman"/>
                <w:b w:val="0"/>
                <w:bCs w:val="0"/>
                <w:snapToGrid w:val="0"/>
                <w:color w:val="auto"/>
                <w:kern w:val="0"/>
                <w:sz w:val="21"/>
                <w:szCs w:val="21"/>
                <w:lang w:eastAsia="zh-CN" w:bidi="ar"/>
              </w:rPr>
              <w:t>项）</w:t>
            </w:r>
          </w:p>
        </w:tc>
      </w:tr>
      <w:tr w14:paraId="5BD70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26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C9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22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承接部门：县民政局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1.核实是否存在违规领取的高龄津贴现象。</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2.向乡镇提供追缴违规领取的高龄津贴名单。</w:t>
            </w:r>
          </w:p>
        </w:tc>
      </w:tr>
      <w:tr w14:paraId="30181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9B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92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44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法律法规条款已失效，不再开展此项工作。</w:t>
            </w:r>
          </w:p>
        </w:tc>
      </w:tr>
      <w:tr w14:paraId="07206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2A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3F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44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承接部门：县卫生健康委、县财政局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2.乡镇政府、街道办事处协同县卫生健康委、县财政局追回超领、冒领的扶助资金。</w:t>
            </w:r>
          </w:p>
        </w:tc>
      </w:tr>
      <w:tr w14:paraId="1A3B2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7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2A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根据优化生育政策要求，不再开展此项工作。</w:t>
            </w:r>
          </w:p>
        </w:tc>
      </w:tr>
      <w:tr w14:paraId="0936C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4B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0A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B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承接部门：县卫生健康委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负责发放避孕药具。</w:t>
            </w:r>
          </w:p>
        </w:tc>
      </w:tr>
      <w:tr w14:paraId="2E9B1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D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F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7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承接部门：县卫生健康委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1.严格遵从计划生育重要时间节点的上级文件要求，开展相关宣传服务活动。</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2.认真传达贯彻上级文件要求，指导乡镇协同开展相关服务活动。</w:t>
            </w:r>
          </w:p>
        </w:tc>
      </w:tr>
      <w:tr w14:paraId="1C8A4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BF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3F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AB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承接部门：县人力社保局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负责高校应届毕业生生源信息导出和核查工作。</w:t>
            </w:r>
          </w:p>
        </w:tc>
      </w:tr>
      <w:tr w14:paraId="0FF83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E5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AE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40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承接部门：县人力社保局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负责就业帮扶培训政策宣传、人员摸排及培训。</w:t>
            </w:r>
          </w:p>
        </w:tc>
      </w:tr>
      <w:tr w14:paraId="6A178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6B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79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3D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承接部门：县人力社保局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负责创业实体信息及就业务工信息统计工作。</w:t>
            </w:r>
          </w:p>
        </w:tc>
      </w:tr>
      <w:tr w14:paraId="75C53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5F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32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3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承接部门：县医保局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负责受理、核实门诊费用报销申请并办理相关业务。</w:t>
            </w:r>
          </w:p>
        </w:tc>
      </w:tr>
      <w:tr w14:paraId="64EB4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7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3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22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承接部门：县医保局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负责受理、核实住院费用报销申请并办理相关业务。</w:t>
            </w:r>
          </w:p>
        </w:tc>
      </w:tr>
      <w:tr w14:paraId="7EBF5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7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48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3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承接部门：县医保局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负责城乡居民基本医疗保险已缴费人员统计。</w:t>
            </w:r>
          </w:p>
        </w:tc>
      </w:tr>
      <w:tr w14:paraId="5C955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D4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5D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AD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承接部门：县文化旅游委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负责开设巾帼夜校及课程。</w:t>
            </w:r>
          </w:p>
        </w:tc>
      </w:tr>
      <w:tr w14:paraId="2934E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DF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A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0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承接部门：县人力社保局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开展三峡技校招生宣传，完成招生入学。</w:t>
            </w:r>
          </w:p>
        </w:tc>
      </w:tr>
      <w:tr w14:paraId="66EE740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76A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三、平安法治（1</w:t>
            </w:r>
            <w:r>
              <w:rPr>
                <w:rFonts w:hint="eastAsia" w:ascii="Times New Roman" w:hAnsi="Times New Roman" w:eastAsia="方正黑体_GBK" w:cs="Times New Roman"/>
                <w:b w:val="0"/>
                <w:bCs w:val="0"/>
                <w:snapToGrid w:val="0"/>
                <w:color w:val="auto"/>
                <w:kern w:val="0"/>
                <w:sz w:val="21"/>
                <w:szCs w:val="21"/>
                <w:lang w:val="en-US" w:eastAsia="zh-CN" w:bidi="ar"/>
              </w:rPr>
              <w:t>7</w:t>
            </w:r>
            <w:r>
              <w:rPr>
                <w:rFonts w:hint="default" w:ascii="Times New Roman" w:hAnsi="Times New Roman" w:eastAsia="方正黑体_GBK" w:cs="Times New Roman"/>
                <w:b w:val="0"/>
                <w:bCs w:val="0"/>
                <w:snapToGrid w:val="0"/>
                <w:color w:val="auto"/>
                <w:kern w:val="0"/>
                <w:sz w:val="21"/>
                <w:szCs w:val="21"/>
                <w:lang w:eastAsia="zh-CN" w:bidi="ar"/>
              </w:rPr>
              <w:t>项）</w:t>
            </w:r>
          </w:p>
        </w:tc>
      </w:tr>
      <w:tr w14:paraId="73B4B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2D529540">
            <w:pPr>
              <w:jc w:val="center"/>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color w:val="auto"/>
                <w:sz w:val="21"/>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C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E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承接部门：县规划自然资源局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17C17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5D6F6253">
            <w:pPr>
              <w:jc w:val="center"/>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eastAsia="zh-CN"/>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F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3E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负责烟花爆竹经营（零售）许可证换证现场核查。</w:t>
            </w:r>
          </w:p>
        </w:tc>
      </w:tr>
      <w:tr w14:paraId="5F4D3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2BA9963B">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E9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82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工作方式：负责烟花爆竹经营企业（批发、零售）监督检查工作。</w:t>
            </w:r>
          </w:p>
        </w:tc>
      </w:tr>
      <w:tr w14:paraId="4784F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4432FBCD">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35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E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负责对非煤矿山企业、尾矿库开展日常安全生产监督检查。</w:t>
            </w:r>
          </w:p>
        </w:tc>
      </w:tr>
      <w:tr w14:paraId="6EBA2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734F07D0">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D2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73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负责对非煤矿山外包工程安全生产开展监督检查。</w:t>
            </w:r>
          </w:p>
        </w:tc>
      </w:tr>
      <w:tr w14:paraId="408B9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10A263F0">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9D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68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负责对生产经营单位消除重大事故隐患开展监督检查。</w:t>
            </w:r>
          </w:p>
        </w:tc>
      </w:tr>
      <w:tr w14:paraId="10B96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07C70FBE">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A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2D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负责对粉尘涉爆企业实施安全监督管理。</w:t>
            </w:r>
          </w:p>
        </w:tc>
      </w:tr>
      <w:tr w14:paraId="5A2C6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7C978AD6">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default" w:ascii="Times New Roman" w:hAnsi="Times New Roman" w:eastAsia="方正仿宋_GBK" w:cs="Times New Roman"/>
                <w:color w:val="auto"/>
                <w:sz w:val="21"/>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AD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97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承接部门：县公安局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负责摩托车、人力三轮车、残疾人机动轮椅及装配动力装置的无牌无证车辆管理整治工作</w:t>
            </w:r>
          </w:p>
        </w:tc>
      </w:tr>
      <w:tr w14:paraId="542AB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637A9E1F">
            <w:pPr>
              <w:jc w:val="center"/>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color w:val="auto"/>
                <w:sz w:val="21"/>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81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E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承接部门：县卫生健康委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对销售无卫生许可批准文件的涉及饮用水卫生安全的产品的行为，开展立案、调查、处罚、回访。</w:t>
            </w:r>
          </w:p>
        </w:tc>
      </w:tr>
      <w:tr w14:paraId="7BA54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39F0887E">
            <w:pPr>
              <w:jc w:val="center"/>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color w:val="auto"/>
                <w:sz w:val="21"/>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F9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53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承接部门：县民政局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对制造、销售封建迷信殡葬用品的行为，开展立案、调查、处罚、回访。</w:t>
            </w:r>
          </w:p>
        </w:tc>
      </w:tr>
      <w:tr w14:paraId="270F8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6F9B7409">
            <w:pPr>
              <w:jc w:val="center"/>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color w:val="auto"/>
                <w:sz w:val="21"/>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B2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9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承接部门：县司法局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开展法律援助指导监督和组织实施工作。</w:t>
            </w:r>
          </w:p>
        </w:tc>
      </w:tr>
      <w:tr w14:paraId="474AE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4691A314">
            <w:pPr>
              <w:jc w:val="center"/>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52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14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承接部门：县消防救援局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派执法人员现场检查，依法做出处罚决定。</w:t>
            </w:r>
          </w:p>
        </w:tc>
      </w:tr>
      <w:tr w14:paraId="79A4F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79B19D18">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23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EE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承接部门：县消防救援局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1.协调选址建设微型消防站。</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2.配备相关消防设施设备、人员等。</w:t>
            </w:r>
          </w:p>
        </w:tc>
      </w:tr>
      <w:tr w14:paraId="36DDD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73BFC89A">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2C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04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开展加油站安全监督检查工作。</w:t>
            </w:r>
          </w:p>
        </w:tc>
      </w:tr>
      <w:tr w14:paraId="53638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60F10776">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2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12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承接部门：县文化旅游委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085E5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1F0077E4">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A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8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承接部门：县文化旅游委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对歌舞娱乐场所违反《娱乐场所管理条例》规定接纳未成年人的行为，开展立案、调查、处罚、回访。</w:t>
            </w:r>
          </w:p>
        </w:tc>
      </w:tr>
      <w:tr w14:paraId="6A5BFE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6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D2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41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工作方式：负责对烟花爆竹零售店进行初审、终审及许可证办理。</w:t>
            </w:r>
          </w:p>
        </w:tc>
      </w:tr>
      <w:tr w14:paraId="563DFF5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80A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四、乡村振兴（1项）</w:t>
            </w:r>
          </w:p>
        </w:tc>
      </w:tr>
      <w:tr w14:paraId="27CE6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D6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CD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17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落实党中央为基层减负有关要求，不再开展此项工作。</w:t>
            </w:r>
          </w:p>
        </w:tc>
      </w:tr>
      <w:tr w14:paraId="723F071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99A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五、生态环保（8项）</w:t>
            </w:r>
          </w:p>
        </w:tc>
      </w:tr>
      <w:tr w14:paraId="36192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00278F23">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B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A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承接部门：县生态环境局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1.将符合纳入台账管理条件的工业固体废物纳入台账管理，作好企业守法培训。</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2.对涉工业固体废物的违法行为依法进行立案查处。</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3.涉嫌刑事违法的依法移送县公安部门追究刑事责任。</w:t>
            </w:r>
          </w:p>
        </w:tc>
      </w:tr>
      <w:tr w14:paraId="553B6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1E4F258F">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5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2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承接部门：县生态环境局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2.按规定对水质进行采样监测。</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3.对涉集中式饮用水源地的违法行为进行立案查处。</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4.涉嫌刑事违法的依法移送县公安部门追究刑事责任。</w:t>
            </w:r>
          </w:p>
        </w:tc>
      </w:tr>
      <w:tr w14:paraId="60111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139388D8">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0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0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承接部门：县生态环境局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1.不断完善噪声污染防治制度体系，强化源头防控，厘清防治责任，促进声环境质量不断改善。</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2.对涉及噪声的违法行为依法进行立案查处。</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3.涉嫌刑事违法的依法移送县公安部门追究刑事责任。</w:t>
            </w:r>
          </w:p>
        </w:tc>
      </w:tr>
      <w:tr w14:paraId="41BB2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04C49459">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73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A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承接部门：县水利局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工作方式：负责小型水库安全监督和防汛监督管理。</w:t>
            </w:r>
          </w:p>
        </w:tc>
      </w:tr>
      <w:tr w14:paraId="0668A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6DD376F6">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90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6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承接部门：县林业局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1.负责采取林分改造、森林抚育等措施，落实公益林保护相关事项。</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2.负责聘请护林员开展公益林管护事项。</w:t>
            </w:r>
          </w:p>
        </w:tc>
      </w:tr>
      <w:tr w14:paraId="25A8A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39DF9B35">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50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87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承接部门：县林业局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1.负责受理林木采伐申请。</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2.负责实地核实、审批、公示林木采伐需求。</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3.负责办理发放林木采伐许可。</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4.负责林木采伐监管。</w:t>
            </w:r>
          </w:p>
        </w:tc>
      </w:tr>
      <w:tr w14:paraId="0FAD5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784CE148">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44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81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承接部门：县林业局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1.负责监测林业有害生物。</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2.负责检疫林业有害生物。</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3.负责防治林业有害生物工作。</w:t>
            </w:r>
          </w:p>
        </w:tc>
      </w:tr>
      <w:tr w14:paraId="71112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A8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53</w:t>
            </w:r>
            <w:bookmarkStart w:id="12" w:name="_GoBack"/>
            <w:bookmarkEnd w:id="12"/>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C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93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接到报告后，动物卫生监督所指派官方兽医赶赴现场，核实情况并启动处置程序。</w:t>
            </w:r>
          </w:p>
        </w:tc>
      </w:tr>
      <w:tr w14:paraId="1D7B8A4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156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六、城乡建设（5项）</w:t>
            </w:r>
          </w:p>
        </w:tc>
      </w:tr>
      <w:tr w14:paraId="35105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00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45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E6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承接部门：县规划自然资源局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承担全县集体土地征收补偿安置具体实施的事务性工作。</w:t>
            </w:r>
          </w:p>
        </w:tc>
      </w:tr>
      <w:tr w14:paraId="0BA68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9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9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4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承接部门：县住房城乡建委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按照规定开展扩建、改建各类老旧小区和市政基础设施工程质量监督管理。</w:t>
            </w:r>
          </w:p>
        </w:tc>
      </w:tr>
      <w:tr w14:paraId="6367C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2E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2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C8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承接部门：县住房城乡建委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按照相关规定开展房屋安全评估。</w:t>
            </w:r>
          </w:p>
        </w:tc>
      </w:tr>
      <w:tr w14:paraId="6D608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EE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23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F5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承接部门：县住房城乡建委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按照规定开展农村住房安全鉴定评定工作。</w:t>
            </w:r>
          </w:p>
        </w:tc>
      </w:tr>
      <w:tr w14:paraId="58721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C4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0F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48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承接部门：县住房城乡建委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工作方式：开展自建房安全等级鉴定。</w:t>
            </w:r>
          </w:p>
        </w:tc>
      </w:tr>
    </w:tbl>
    <w:p w14:paraId="6B90E912">
      <w:pPr>
        <w:pStyle w:val="2"/>
        <w:spacing w:before="0" w:after="0" w:line="240" w:lineRule="auto"/>
        <w:jc w:val="center"/>
        <w:rPr>
          <w:rFonts w:ascii="Times New Roman" w:hAnsi="Times New Roman" w:eastAsia="方正小标宋_GBK" w:cs="Times New Roman"/>
          <w:color w:val="auto"/>
          <w:spacing w:val="7"/>
          <w:lang w:eastAsia="zh-CN"/>
        </w:rPr>
      </w:pPr>
    </w:p>
    <w:p w14:paraId="3293ACD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38762">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8CCD9FB">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8CCD9FB">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5A8D7">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5760640"/>
    <w:rsid w:val="05A00E0A"/>
    <w:rsid w:val="05F405D7"/>
    <w:rsid w:val="06A92EBE"/>
    <w:rsid w:val="086A66ED"/>
    <w:rsid w:val="0C0B7609"/>
    <w:rsid w:val="110411F6"/>
    <w:rsid w:val="163D2AB4"/>
    <w:rsid w:val="18BC4164"/>
    <w:rsid w:val="1A525767"/>
    <w:rsid w:val="1BBB71A6"/>
    <w:rsid w:val="1EEF01A7"/>
    <w:rsid w:val="25F33B93"/>
    <w:rsid w:val="261849A4"/>
    <w:rsid w:val="27700E00"/>
    <w:rsid w:val="352B46F4"/>
    <w:rsid w:val="386646D6"/>
    <w:rsid w:val="3C366FA2"/>
    <w:rsid w:val="3D35430A"/>
    <w:rsid w:val="439F5E7B"/>
    <w:rsid w:val="45555F9B"/>
    <w:rsid w:val="46795C51"/>
    <w:rsid w:val="48831CF9"/>
    <w:rsid w:val="49ED4DA5"/>
    <w:rsid w:val="4B44740D"/>
    <w:rsid w:val="4DC909B4"/>
    <w:rsid w:val="50F6575E"/>
    <w:rsid w:val="55FF2B48"/>
    <w:rsid w:val="56A25A40"/>
    <w:rsid w:val="58A51600"/>
    <w:rsid w:val="59327400"/>
    <w:rsid w:val="5AB12995"/>
    <w:rsid w:val="623A1223"/>
    <w:rsid w:val="63A177AC"/>
    <w:rsid w:val="64074337"/>
    <w:rsid w:val="64E733F0"/>
    <w:rsid w:val="68A84586"/>
    <w:rsid w:val="70167E72"/>
    <w:rsid w:val="74D26B0D"/>
    <w:rsid w:val="75B07D22"/>
    <w:rsid w:val="777A4144"/>
    <w:rsid w:val="781F01A6"/>
    <w:rsid w:val="794D1059"/>
    <w:rsid w:val="79F22FCB"/>
    <w:rsid w:val="7F3C4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2</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2025-07-31T14:19:52Z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1CF403D5D62342569701C14E4F19E93B_12</vt:lpwstr>
  </property>
</Properties>
</file>