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DD6DA">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附件27</w:t>
      </w:r>
    </w:p>
    <w:p w14:paraId="7853FA53">
      <w:pPr>
        <w:pStyle w:val="7"/>
        <w:jc w:val="left"/>
        <w:rPr>
          <w:rFonts w:ascii="方正公文小标宋" w:eastAsia="方正公文小标宋"/>
          <w:b w:val="0"/>
          <w:sz w:val="84"/>
          <w:szCs w:val="84"/>
          <w:lang w:eastAsia="zh-CN"/>
        </w:rPr>
      </w:pPr>
    </w:p>
    <w:p w14:paraId="4D4F70B4">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601F1DCE">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重庆市丰都县青龙乡</w:t>
      </w:r>
      <w:bookmarkStart w:id="0" w:name="_GoBack"/>
      <w:bookmarkEnd w:id="0"/>
      <w:r>
        <w:rPr>
          <w:rFonts w:hint="eastAsia" w:ascii="方正小标宋_GBK" w:hAnsi="方正小标宋_GBK" w:eastAsia="方正小标宋_GBK" w:cs="方正小标宋_GBK"/>
          <w:snapToGrid/>
          <w:color w:val="auto"/>
          <w:kern w:val="2"/>
          <w:sz w:val="72"/>
          <w:szCs w:val="72"/>
          <w:lang w:eastAsia="zh-CN"/>
        </w:rPr>
        <w:t>履行职责事项清单</w:t>
      </w:r>
    </w:p>
    <w:p w14:paraId="14BC4C5D">
      <w:pPr>
        <w:rPr>
          <w:rFonts w:ascii="方正公文小标宋" w:eastAsia="方正公文小标宋"/>
          <w:sz w:val="84"/>
          <w:szCs w:val="84"/>
          <w:lang w:eastAsia="zh-CN"/>
        </w:rPr>
      </w:pPr>
    </w:p>
    <w:p w14:paraId="67122D53">
      <w:pPr>
        <w:rPr>
          <w:rFonts w:ascii="方正公文小标宋" w:eastAsia="方正公文小标宋"/>
          <w:sz w:val="84"/>
          <w:szCs w:val="84"/>
          <w:lang w:eastAsia="zh-CN"/>
        </w:rPr>
      </w:pPr>
    </w:p>
    <w:p w14:paraId="509B2DE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C84EC67">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4DE149BD">
          <w:pPr>
            <w:pStyle w:val="12"/>
            <w:rPr>
              <w:rFonts w:hint="default" w:ascii="Times New Roman" w:hAnsi="Times New Roman" w:cs="Times New Roman"/>
              <w:color w:val="auto"/>
            </w:rPr>
          </w:pPr>
        </w:p>
        <w:p w14:paraId="671FF6E4">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2992092A">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8445C8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13554615">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7F2275F3">
      <w:pPr>
        <w:pStyle w:val="7"/>
        <w:jc w:val="both"/>
        <w:rPr>
          <w:rFonts w:ascii="Times New Roman" w:hAnsi="Times New Roman" w:eastAsia="方正小标宋_GBK" w:cs="Times New Roman"/>
          <w:color w:val="auto"/>
          <w:spacing w:val="7"/>
          <w:sz w:val="44"/>
          <w:szCs w:val="44"/>
          <w:lang w:eastAsia="zh-CN"/>
        </w:rPr>
      </w:pPr>
    </w:p>
    <w:p w14:paraId="1C27B235">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302A582">
      <w:pPr>
        <w:keepNext/>
        <w:keepLines/>
        <w:pageBreakBefore w:val="0"/>
        <w:widowControl w:val="0"/>
        <w:shd w:val="clear"/>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方正小标宋_GBK" w:hAnsi="Calibri" w:eastAsia="方正小标宋_GBK" w:cs="方正小标宋_GBK"/>
          <w:b w:val="0"/>
          <w:bCs w:val="0"/>
          <w:snapToGrid/>
          <w:color w:val="auto"/>
          <w:kern w:val="44"/>
          <w:sz w:val="44"/>
          <w:szCs w:val="44"/>
          <w:lang w:val="en-US" w:eastAsia="zh-CN" w:bidi="ar-SA"/>
        </w:rPr>
      </w:pPr>
      <w:r>
        <w:rPr>
          <w:rFonts w:hint="eastAsia" w:ascii="方正小标宋_GBK" w:hAnsi="Calibri" w:eastAsia="方正小标宋_GBK" w:cs="方正小标宋_GBK"/>
          <w:b w:val="0"/>
          <w:bCs w:val="0"/>
          <w:snapToGrid/>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685C21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9F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8E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31F3109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F1B7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99640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C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6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9C09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D0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8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65C733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1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F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2ABD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3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05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加强党员队伍建设，负责本乡党员的发展、教育、管理、监督和服务，做好党费收缴、使用和管理，开展党内关怀、党员激励工作。</w:t>
            </w:r>
          </w:p>
        </w:tc>
      </w:tr>
      <w:tr w14:paraId="67CBF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F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5D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按照干部管理权限，负责本乡机关、事业单位干部的选拔、教育、管理、培训、考核、奖励、监督等工作，开展各类评优评先推荐上报。</w:t>
            </w:r>
          </w:p>
        </w:tc>
      </w:tr>
      <w:tr w14:paraId="2EB794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9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B563A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D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7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05E108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0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03186D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A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7B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负责本乡数字重庆建设工作，推进“141”基层智治体系建设。</w:t>
            </w:r>
          </w:p>
        </w:tc>
      </w:tr>
      <w:tr w14:paraId="7B1083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9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77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71905C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C1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32303E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69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2C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1387DF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5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8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012F1C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E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0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推动乡、村（社区）两级监督体系建设，负责开展监督执纪问责，按照权限分类处置问题线索。</w:t>
            </w:r>
          </w:p>
        </w:tc>
      </w:tr>
      <w:tr w14:paraId="63143E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A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10C7AF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8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7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落实党代表大会代表任期制，负责党代表日常联络服务，推动党代表履职，按期组织召开乡党代会。</w:t>
            </w:r>
          </w:p>
        </w:tc>
      </w:tr>
      <w:tr w14:paraId="4917EE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C5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8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落实人大代表选举制度，召开乡人民代表大会，支持和保障人大代表依法履职，组织和服务人大代表开展视察调研，负责办理人大代表议案建议，转交人大代表反映的人民群众意见建议。</w:t>
            </w:r>
          </w:p>
        </w:tc>
      </w:tr>
      <w:tr w14:paraId="4FBA5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FC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9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127A60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C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0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2AAA8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B1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AB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5C1941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6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AA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0D650C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6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3F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671A3E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7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7C1E15A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1957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045DBB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F9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8B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EC978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E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23ED28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42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1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3CA4A8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9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2C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47D95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E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7A1B17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92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74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060582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89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D3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58CCDC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9F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0B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20D11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76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E1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723AC5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E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C3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7D3D90D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7A4D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三、民生服务（13项）</w:t>
            </w:r>
          </w:p>
        </w:tc>
      </w:tr>
      <w:tr w14:paraId="4C79E7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6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9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4ADD52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FE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D1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60A613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E5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66014D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2A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3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58419B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88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44386C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6C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2BF7C2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5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68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6925E5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9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7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768CD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6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0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0B474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63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6F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450F7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F5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1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6D2233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34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C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B96AE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98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5D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负责乡便民服务中心阵地建设，指导村（社区）党群服务中心建设。</w:t>
            </w:r>
          </w:p>
        </w:tc>
      </w:tr>
      <w:tr w14:paraId="47D5E9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4B9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61EEB6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6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45EECA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3B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B0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0C707D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3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C2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7D28C1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E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93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6549BD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9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2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1AAB44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F9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4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421491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02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2385B8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74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78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277CD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D0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1A0CAE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E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D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44DC1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C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5E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6B2081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1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F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0245E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F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3C7B1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2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2E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2E6861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9F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C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7E28D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35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9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058013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421E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五、乡村振兴（9项）</w:t>
            </w:r>
          </w:p>
        </w:tc>
      </w:tr>
      <w:tr w14:paraId="7B6698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C1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9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7D45AB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D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B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409ACB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4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9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2E04F2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3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B6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6B94B9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03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A8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53ED41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22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7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19118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85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5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49A9C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B7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D938E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D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20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发展特色农业，推广油茶、淫羊藿、金松茸、五倍子等林下经济作物，培育黑花生、二荆条、青龙茶叶等特色产业。</w:t>
            </w:r>
          </w:p>
        </w:tc>
      </w:tr>
      <w:tr w14:paraId="767D7D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62F8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14707D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0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6821C6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E6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6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C865E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6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6C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20CFFE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2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B9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负责制定乡村级农村饮水供水应急预案，管护村级供水工程、主管网、水源地，排查整治供水工程隐患及供水环境卫生，开展用水安全相关宣传，保障农村饮水供水安全。</w:t>
            </w:r>
          </w:p>
        </w:tc>
      </w:tr>
      <w:tr w14:paraId="0D5F17B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5748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3C7A4E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E9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46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147503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B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1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60232F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10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FD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63B940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9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3E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负责本乡市容环卫、市政设施维护、园林绿化管理、垃圾分类、农村垃圾清运等工作。</w:t>
            </w:r>
          </w:p>
        </w:tc>
      </w:tr>
      <w:tr w14:paraId="3A0B4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17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9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6EE68D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1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3985EE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C339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八、文化和旅游（1项）</w:t>
            </w:r>
          </w:p>
        </w:tc>
      </w:tr>
      <w:tr w14:paraId="1C10E6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D3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E8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负责公共文化场地的开放、管理和服务，组织开展文化娱乐活动。</w:t>
            </w:r>
          </w:p>
        </w:tc>
      </w:tr>
      <w:tr w14:paraId="227CAC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6AAB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77A36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69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348B04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B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F9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516DBB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B2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5E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55D7B8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C7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B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2BD471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8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A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2E0556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A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7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032B90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0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A8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0AC73C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FA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3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3B0569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3A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986D80C">
      <w:pPr>
        <w:keepNext/>
        <w:keepLines/>
        <w:pageBreakBefore w:val="0"/>
        <w:widowControl w:val="0"/>
        <w:shd w:val="clear"/>
        <w:kinsoku/>
        <w:wordWrap/>
        <w:overflowPunct/>
        <w:topLinePunct w:val="0"/>
        <w:autoSpaceDE/>
        <w:autoSpaceDN/>
        <w:bidi w:val="0"/>
        <w:adjustRightInd/>
        <w:snapToGrid/>
        <w:spacing w:before="0" w:after="0" w:line="240" w:lineRule="auto"/>
        <w:ind w:firstLine="0" w:firstLineChars="0"/>
        <w:jc w:val="center"/>
        <w:textAlignment w:val="auto"/>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宋体" w:eastAsia="方正小标宋_GBK" w:cs="方正小标宋_GBK"/>
          <w:b w:val="0"/>
          <w:bCs w:val="0"/>
          <w:snapToGrid/>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E57ED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72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778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6B3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AA2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D2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乡配合职责</w:t>
            </w:r>
          </w:p>
        </w:tc>
      </w:tr>
      <w:tr w14:paraId="462B70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B388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4E6CEDB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1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7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89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02C4C7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E0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EE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1EC9B77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F9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6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B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87BFA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E31BD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941B9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C8B08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A709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362E0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C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C6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222122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F7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7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D9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C26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4026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2B323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2D98C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FFE71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2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EB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5E72CF55">
        <w:tblPrEx>
          <w:tblCellMar>
            <w:top w:w="0" w:type="dxa"/>
            <w:left w:w="108" w:type="dxa"/>
            <w:bottom w:w="0" w:type="dxa"/>
            <w:right w:w="108" w:type="dxa"/>
          </w:tblCellMar>
        </w:tblPrEx>
        <w:trPr>
          <w:trHeight w:val="6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1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7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5C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B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68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6E35064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7F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E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C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9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2C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3541165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2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0B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2F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A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63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68648B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26B9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1A8F7D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D8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15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6C4B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3CFE9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C5D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271E5B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1E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E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4.牵头本乡投资项目欠薪处置工作。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729C506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5A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03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29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8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6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39F5945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C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D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0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CD4D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4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A9A37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24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E7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CE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9F5DF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0D2C7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4E48F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118F65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A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9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6D08C6C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0B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B3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B4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9EECC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C063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2DAF1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159DD7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0A78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4B7C5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DA6AC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E6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23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17B927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BA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4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E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2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3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141C0AAF">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7C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7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E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A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E2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765A1CC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E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8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E261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B048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30C4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037C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ABEA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4C43E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76CC6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71BE68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0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B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17324BC4">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7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BD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DD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E3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A9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4F03F02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8D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80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AC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4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4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1899404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9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F9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53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A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A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7A072EC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18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D8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5B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12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8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54C7360D">
        <w:tblPrEx>
          <w:tblCellMar>
            <w:top w:w="0" w:type="dxa"/>
            <w:left w:w="108" w:type="dxa"/>
            <w:bottom w:w="0" w:type="dxa"/>
            <w:right w:w="108" w:type="dxa"/>
          </w:tblCellMar>
        </w:tblPrEx>
        <w:trPr>
          <w:trHeight w:val="3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7F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2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B5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E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CA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0EAAEC8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21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20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18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7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9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5A5A69C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E9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F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9D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5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3E7FFDA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96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A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5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69809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D8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C3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C00BDD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D5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5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37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CA1FC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022AB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7B1B3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05A8F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5C606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54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28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116311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75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E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6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F0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11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437AC261">
        <w:tblPrEx>
          <w:tblCellMar>
            <w:top w:w="0" w:type="dxa"/>
            <w:left w:w="108" w:type="dxa"/>
            <w:bottom w:w="0" w:type="dxa"/>
            <w:right w:w="108" w:type="dxa"/>
          </w:tblCellMar>
        </w:tblPrEx>
        <w:trPr>
          <w:trHeight w:val="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07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6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2A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23AF1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4B2517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D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C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6CBC97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C338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7A6A24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C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5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26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A774C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F68C2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68B97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74C94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BC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1950391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F2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B3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EA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03AC9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048A8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58A44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CA9C6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3B4E9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59A4B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5CECF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57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8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38DCC93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B9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36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F3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F2209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92B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C5CA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B1B85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4C8E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F7D1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28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D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A33BF8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8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D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45AA1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BF51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43C9F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A72C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140F8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37AAF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D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E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3DF1409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0E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39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79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19D5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市场监管局</w:t>
            </w:r>
          </w:p>
          <w:p w14:paraId="658D98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9B9C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CCB0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DA2DC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00C90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1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3E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486744D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2D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86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5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B8407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A43D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C0D25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23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1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AC5ACE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5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9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9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2348C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21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D1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138E841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A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E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3047B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6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65CE58D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7D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A3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F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7A11E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41A3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6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67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563BC7C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E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0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0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AD18D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52221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C6DD1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7D0572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1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B8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1FC5FE2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D5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C2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D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EC314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D89D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954B1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6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7A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04402B1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0C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2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C2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04E56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6705D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C0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1A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142787A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B9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E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CA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F114E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DD7DF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9BE5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03FE5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F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10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5B1CEF8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25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7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96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958DF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C73E9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E0710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ED318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D4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D1001D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F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1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76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9069F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4B3E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513B9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CD704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1890B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7B1275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083AC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47701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E2440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5A0EA7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ECA8F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BB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8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4CB822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A1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E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78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0F091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824E7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3F01B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2C7F3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2DC7D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1DB0B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0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B2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3120C96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C2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8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C5B0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00B2A7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E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1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03149B5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D1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1F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C6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238FD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84B82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B7CD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8F34A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AC43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2C664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EAA59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3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AC59E3D">
        <w:tblPrEx>
          <w:tblCellMar>
            <w:top w:w="0" w:type="dxa"/>
            <w:left w:w="108" w:type="dxa"/>
            <w:bottom w:w="0" w:type="dxa"/>
            <w:right w:w="108" w:type="dxa"/>
          </w:tblCellMar>
        </w:tblPrEx>
        <w:trPr>
          <w:trHeight w:val="1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6C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1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B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B4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3E73C9F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A162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20F036D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7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A9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D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3A21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9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6629B1A5">
        <w:tblPrEx>
          <w:tblCellMar>
            <w:top w:w="0" w:type="dxa"/>
            <w:left w:w="108" w:type="dxa"/>
            <w:bottom w:w="0" w:type="dxa"/>
            <w:right w:w="108" w:type="dxa"/>
          </w:tblCellMar>
        </w:tblPrEx>
        <w:trPr>
          <w:trHeight w:val="12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C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B0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C6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65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147EC44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3F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7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4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D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68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4F0F40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CE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7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F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8EB7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0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B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2C169C6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A5FB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DD91D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D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F7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D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0B3F0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2699A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C4AA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4D812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039F8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593879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9D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54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DE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913EA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1A07A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AB8B9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F1C37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1B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7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7F7D28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D6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3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77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92D49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78E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C6D2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35BD5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A8537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9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02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23D37A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65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D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9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29702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4020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1BE269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BBBD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D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1AC5AE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03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2B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87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5A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9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8D1EE40">
        <w:tblPrEx>
          <w:tblCellMar>
            <w:top w:w="0" w:type="dxa"/>
            <w:left w:w="108" w:type="dxa"/>
            <w:bottom w:w="0" w:type="dxa"/>
            <w:right w:w="108" w:type="dxa"/>
          </w:tblCellMar>
        </w:tblPrEx>
        <w:trPr>
          <w:trHeight w:val="12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8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D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05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1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7A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7817581C">
        <w:tblPrEx>
          <w:tblCellMar>
            <w:top w:w="0" w:type="dxa"/>
            <w:left w:w="108" w:type="dxa"/>
            <w:bottom w:w="0" w:type="dxa"/>
            <w:right w:w="108" w:type="dxa"/>
          </w:tblCellMar>
        </w:tblPrEx>
        <w:trPr>
          <w:trHeight w:val="12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EE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E1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B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89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32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6F46F4E">
        <w:tblPrEx>
          <w:tblCellMar>
            <w:top w:w="0" w:type="dxa"/>
            <w:left w:w="108" w:type="dxa"/>
            <w:bottom w:w="0" w:type="dxa"/>
            <w:right w:w="108" w:type="dxa"/>
          </w:tblCellMar>
        </w:tblPrEx>
        <w:trPr>
          <w:trHeight w:val="13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15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12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D0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1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C7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2DA403C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4B0E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2CB5F6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1C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4A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EC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299BE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51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E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270369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B2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25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76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F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29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42E403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40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D9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A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3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BA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444DE4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8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8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08B8E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77B9EB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E50A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263A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15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6A4651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A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650B44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1F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C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4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977AA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C286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264E2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AECA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A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A5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7DAA83A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8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9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0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1F26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297855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5980F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D29ED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BBD5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B8D24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1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2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06E3CD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24C4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714B3D37">
        <w:tblPrEx>
          <w:tblCellMar>
            <w:top w:w="0" w:type="dxa"/>
            <w:left w:w="108" w:type="dxa"/>
            <w:bottom w:w="0" w:type="dxa"/>
            <w:right w:w="108" w:type="dxa"/>
          </w:tblCellMar>
        </w:tblPrEx>
        <w:trPr>
          <w:trHeight w:val="15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A6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D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51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E8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46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75AB9476">
        <w:tblPrEx>
          <w:tblCellMar>
            <w:top w:w="0" w:type="dxa"/>
            <w:left w:w="108" w:type="dxa"/>
            <w:bottom w:w="0" w:type="dxa"/>
            <w:right w:w="108" w:type="dxa"/>
          </w:tblCellMar>
        </w:tblPrEx>
        <w:trPr>
          <w:trHeight w:val="16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34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C4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3F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F3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7E6BAAC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7C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C5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3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7B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2B9330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4E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67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2B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9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1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248FD1AE">
      <w:pPr>
        <w:keepNext/>
        <w:keepLines/>
        <w:pageBreakBefore w:val="0"/>
        <w:widowControl w:val="0"/>
        <w:shd w:val="clear"/>
        <w:kinsoku/>
        <w:wordWrap/>
        <w:overflowPunct/>
        <w:topLinePunct w:val="0"/>
        <w:autoSpaceDE/>
        <w:autoSpaceDN/>
        <w:bidi w:val="0"/>
        <w:adjustRightInd/>
        <w:snapToGrid/>
        <w:spacing w:before="0" w:after="0" w:line="240" w:lineRule="auto"/>
        <w:ind w:firstLine="0" w:firstLineChars="0"/>
        <w:jc w:val="center"/>
        <w:textAlignment w:val="auto"/>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宋体" w:eastAsia="方正小标宋_GBK" w:cs="方正小标宋_GBK"/>
          <w:b w:val="0"/>
          <w:bCs w:val="0"/>
          <w:snapToGrid/>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4190C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DFC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A7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F8E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496311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2483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00DDF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F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19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72448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9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0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85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5C3DF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D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4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5735A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E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7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1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2E365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8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1E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0E6F7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5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8D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9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44705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4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0A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F4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3F94B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8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8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7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3615E2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25D12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E2F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0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CA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B8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2821B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D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F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0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0E9CA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8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03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A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526B8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7F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1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F1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7834D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18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D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7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693C0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D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2E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4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01B3AEA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60BF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6CAF1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AF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5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ED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3B991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A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C9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92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497A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A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7C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7C867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A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792B5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1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B6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D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58F9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06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B5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B9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4A89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FC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AA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7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2C0F9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4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B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1D35A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E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A3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33238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29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6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5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0F98B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3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42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6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3DE7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E7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3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3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02AD7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6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A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33987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2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5E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98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5AF7EEB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653D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81E9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28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FD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E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766AD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5C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10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6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5991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55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9C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1CFED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6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2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E4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2D9B2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D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51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45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7F22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24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C2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5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2CC8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0C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4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B8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4AEEA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0C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E0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43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3EF6C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EB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9D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7A4BF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4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CF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B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11B6F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96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B8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56C89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AF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71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5FE73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D3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91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7331D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4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0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E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4DE36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A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A6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5CE77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B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47016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8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9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A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4A4E579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4C62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5591E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8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3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91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1F7BFBA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6948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2C46D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2F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06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61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6DE41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2E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11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F6AD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C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C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0572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7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8E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9D79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9A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8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5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450D0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28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EE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64D95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2B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F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5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261AD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89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A6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7C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D241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4B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3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A9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3B1C10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5D9C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4FFC2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C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86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A2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3102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E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1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D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4E068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A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84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A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3472F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67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D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6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314A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A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73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D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631954A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C2A3">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B96C94">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B96C94">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C10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B1C72B0"/>
    <w:rsid w:val="1B900FB0"/>
    <w:rsid w:val="2F5A786A"/>
    <w:rsid w:val="33515D89"/>
    <w:rsid w:val="35EB6CC3"/>
    <w:rsid w:val="366D7483"/>
    <w:rsid w:val="476C34BE"/>
    <w:rsid w:val="52DC7024"/>
    <w:rsid w:val="674212A6"/>
    <w:rsid w:val="6DE80EAE"/>
    <w:rsid w:val="7C1F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2025-07-30T10:11:18Z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F04EE834B50F4B52AEEC946184E1901A_12</vt:lpwstr>
  </property>
</Properties>
</file>