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9874F">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14</w:t>
      </w:r>
    </w:p>
    <w:p w14:paraId="06B6A655">
      <w:pPr>
        <w:pStyle w:val="7"/>
        <w:jc w:val="left"/>
        <w:rPr>
          <w:rFonts w:ascii="方正公文小标宋" w:eastAsia="方正公文小标宋"/>
          <w:b w:val="0"/>
          <w:sz w:val="84"/>
          <w:szCs w:val="84"/>
          <w:lang w:eastAsia="zh-CN"/>
        </w:rPr>
      </w:pPr>
    </w:p>
    <w:p w14:paraId="10F8155C">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740C2AAE">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6B0BC03B">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重庆市丰都县保合镇履行职责事项清单</w:t>
      </w:r>
    </w:p>
    <w:p w14:paraId="2D90DE1B">
      <w:pPr>
        <w:rPr>
          <w:rFonts w:ascii="方正公文小标宋" w:eastAsia="方正公文小标宋"/>
          <w:sz w:val="84"/>
          <w:szCs w:val="84"/>
          <w:lang w:eastAsia="zh-CN"/>
        </w:rPr>
      </w:pPr>
    </w:p>
    <w:p w14:paraId="0FCD52A5">
      <w:pPr>
        <w:rPr>
          <w:rFonts w:ascii="方正公文小标宋" w:eastAsia="方正公文小标宋"/>
          <w:sz w:val="84"/>
          <w:szCs w:val="84"/>
          <w:lang w:eastAsia="zh-CN"/>
        </w:rPr>
      </w:pPr>
    </w:p>
    <w:p w14:paraId="0B1E6A9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color w:val="auto"/>
          <w:sz w:val="44"/>
          <w:szCs w:val="44"/>
          <w:lang w:val="zh-CN" w:eastAsia="en-US"/>
        </w:rPr>
        <w:id w:val="1172384030"/>
        <w:docPartObj>
          <w:docPartGallery w:val="Table of Contents"/>
          <w:docPartUnique/>
        </w:docPartObj>
      </w:sdtPr>
      <w:sdtEndPr>
        <w:rPr>
          <w:rFonts w:hint="eastAsia" w:ascii="Times New Roman" w:hAnsi="Times New Roman" w:eastAsia="方正公文仿宋" w:cs="Times New Roman"/>
          <w:b/>
          <w:bCs/>
          <w:snapToGrid w:val="0"/>
          <w:color w:val="000000"/>
          <w:sz w:val="32"/>
          <w:szCs w:val="21"/>
          <w:lang w:val="zh-CN" w:eastAsia="en-US"/>
        </w:rPr>
      </w:sdtEndPr>
      <w:sdtContent>
        <w:p w14:paraId="038B1152">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53E44146">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1A41AE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319A48B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2E2F3660">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45D58D32">
      <w:pPr>
        <w:pStyle w:val="7"/>
        <w:jc w:val="both"/>
        <w:rPr>
          <w:rFonts w:ascii="Times New Roman" w:hAnsi="Times New Roman" w:eastAsia="方正小标宋_GBK" w:cs="Times New Roman"/>
          <w:color w:val="auto"/>
          <w:spacing w:val="7"/>
          <w:sz w:val="44"/>
          <w:szCs w:val="44"/>
          <w:lang w:eastAsia="zh-CN"/>
        </w:rPr>
      </w:pPr>
    </w:p>
    <w:p w14:paraId="1C77850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9EA33FF">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077949"/>
      <w:bookmarkStart w:id="1" w:name="_Toc172077551"/>
      <w:bookmarkStart w:id="2" w:name="_Toc172533652"/>
      <w:bookmarkStart w:id="3" w:name="_Toc172077416"/>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7BA5BC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29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E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F1A71D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4DD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6CF6E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E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6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127A3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EB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2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3AAF4F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5D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3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0CCFE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E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400507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4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B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3A053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F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7C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167C09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3C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FB1AE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A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8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73E5A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75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9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34AA01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3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3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5AA109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4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A50A9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F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374CAA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CE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6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7AC015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9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5EE8DF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B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75772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D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411FA8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9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A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2DFB8C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5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48163F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1B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E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4A4990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8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B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7F31F9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66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F0B0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1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330A39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6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D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F91AB4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3FE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二、经济发展（11项）</w:t>
            </w:r>
          </w:p>
        </w:tc>
      </w:tr>
      <w:tr w14:paraId="4EBAC3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8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F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217538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C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8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690A9A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A0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52464C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78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69A00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7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1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5C9566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0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1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2A0EDE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4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CC0C2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0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2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3A07CD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4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0BFF39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F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负责川芎、菳荞麦、淫羊藿等产业发展工作。</w:t>
            </w:r>
          </w:p>
        </w:tc>
      </w:tr>
      <w:tr w14:paraId="16050C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7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6F705B3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AD2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6356E0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0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44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2D4266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BF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5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46A7FD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E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2AE612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3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3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6B1E4F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4EE75C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8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E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E02FB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5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783114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9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1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1F27D4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0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E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4012A9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4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67A93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8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014AF3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8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F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6E9028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8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A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7286318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D37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DF4C0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C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C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42317A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F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43F51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1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8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54EA29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3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527940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A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3FDD5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4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B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0E29E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B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5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1C672F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68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1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7C0D52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0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B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8C63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5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E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D630D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4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3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1A035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E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2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0A771A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03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负责建立健全领导接访和信访应急预案，主动排查涉访矛盾，按规定受理、协调、处置信访事项，联动协同处置突发事件，做好职权范围内信访人员疏导教育、帮扶救助等工作。</w:t>
            </w:r>
          </w:p>
        </w:tc>
      </w:tr>
      <w:tr w14:paraId="5F5F7E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B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E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797C54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31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3B76E2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A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A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4FBD3CD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C73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703E52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A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B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644A50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3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A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4F6199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F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62F9CA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F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C3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7C99DB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FC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9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0CEDFB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3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F7B46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4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E0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48D07A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9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558EEE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D30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4FEB57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4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4D7A88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1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C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538A7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7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0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D9097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6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8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94F999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584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D8F86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F1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134C96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B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7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76CC2D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79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C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3BCD07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F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8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5BC60F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9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E1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0F1601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E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7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36E8D11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947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7B795E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EA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p>
        </w:tc>
      </w:tr>
      <w:tr w14:paraId="478A1D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A74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297FDE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F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2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080556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2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A3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537732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D2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B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负责政府信息公开工作。</w:t>
            </w:r>
          </w:p>
        </w:tc>
      </w:tr>
      <w:tr w14:paraId="5E663A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F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3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r>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t>。</w:t>
            </w:r>
          </w:p>
        </w:tc>
      </w:tr>
      <w:tr w14:paraId="4783A7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B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57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r>
              <w:rPr>
                <w:rFonts w:hint="eastAsia" w:ascii="方正仿宋_GBK" w:hAnsi="方正仿宋_GBK" w:eastAsia="方正仿宋_GBK" w:cs="方正仿宋_GBK"/>
                <w:b w:val="0"/>
                <w:bCs w:val="0"/>
                <w:snapToGrid w:val="0"/>
                <w:color w:val="000000" w:themeColor="text1"/>
                <w:kern w:val="0"/>
                <w:sz w:val="21"/>
                <w:szCs w:val="21"/>
                <w:lang w:eastAsia="zh-CN" w:bidi="ar"/>
                <w14:textFill>
                  <w14:solidFill>
                    <w14:schemeClr w14:val="tx1"/>
                  </w14:solidFill>
                </w14:textFill>
              </w:rPr>
              <w:t>。</w:t>
            </w:r>
          </w:p>
        </w:tc>
      </w:tr>
      <w:tr w14:paraId="2172B1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9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C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85035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3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2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181F0C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A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37A922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4E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3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3D9A11E1">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bookmarkStart w:id="8" w:name="_Toc172077553"/>
      <w:bookmarkStart w:id="9" w:name="_Toc172533654"/>
      <w:bookmarkStart w:id="10" w:name="_Toc172077951"/>
      <w:bookmarkStart w:id="11" w:name="_Toc172077418"/>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672B5A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C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15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B9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1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1D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325CE36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A13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59FF39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0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4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011D4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0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1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55370E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C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FEB0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AD23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2D63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47A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66B8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1070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B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F9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5CF94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8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08A8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F7DD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A5E5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C564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4E5A3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0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7173EC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D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C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5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3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4F5222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C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0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A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D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7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6FDA3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D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7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A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1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0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27DDEA4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616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50662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6C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2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D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56044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7563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9525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7BF9D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2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217C71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7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A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408E2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F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3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15AD4D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2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6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044911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C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3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E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4EF6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63F46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2741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46851C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4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346C6A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9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3388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CC35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5D8F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50712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B3F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7A46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73E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F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F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77485B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D3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5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E7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F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0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148FBB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3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DA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4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B5B0DA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41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D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E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F325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79E3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37106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80C2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9264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0F58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42436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0145F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3F1E7C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5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4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7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1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4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365F87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7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2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7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D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A3280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4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9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3D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2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8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5302F58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CB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A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4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1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49313C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A53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E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8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57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9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35AD07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DC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E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3F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8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4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67CFF5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91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3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F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7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6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2F6A54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B9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7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5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3E45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B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7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57D79D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AF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D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F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9ADA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2EAC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D2F5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9BB2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6C0E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8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649B34A7">
        <w:tblPrEx>
          <w:tblCellMar>
            <w:top w:w="0" w:type="dxa"/>
            <w:left w:w="108" w:type="dxa"/>
            <w:bottom w:w="0" w:type="dxa"/>
            <w:right w:w="108" w:type="dxa"/>
          </w:tblCellMar>
        </w:tblPrEx>
        <w:trPr>
          <w:trHeight w:val="3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B63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7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2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5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68A80417">
        <w:tblPrEx>
          <w:tblCellMar>
            <w:top w:w="0" w:type="dxa"/>
            <w:left w:w="108" w:type="dxa"/>
            <w:bottom w:w="0" w:type="dxa"/>
            <w:right w:w="108" w:type="dxa"/>
          </w:tblCellMar>
        </w:tblPrEx>
        <w:trPr>
          <w:trHeight w:val="43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36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5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44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0FBAFD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71BBE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AE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9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7261B6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D23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57FB7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C7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1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920E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B82F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E0DE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74FFCC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D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D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1D39A5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DE5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F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0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6C422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72FB1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8EA5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6542E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8668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C6D1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E81B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0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1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4BC02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05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D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24619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F8AF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EB1F9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386A0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6CF73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E6B8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15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0435520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2F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0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02043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21AC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37F4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03A6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495FB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DA29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7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1DEA0E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55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6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D596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16447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86555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554A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0CB4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C93B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C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8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29CA5E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13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F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AE7E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6D1A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0514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4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6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F68F1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B4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D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88150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B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B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5F10A5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F5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B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EEC1A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8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48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0701E6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C8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B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1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7DCC1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DE0E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A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A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12EACB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60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C5CD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D696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DD56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0E694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9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C7B52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1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48A4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08E64B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660E5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AB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A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3DE5D7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9F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F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1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BD8C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DF25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8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B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33349E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92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7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90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D6C9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9082A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5296C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7718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5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22B7159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F6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8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C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345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C11E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07C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B851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9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576F91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A1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8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6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C56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35430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EBA37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D2233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E37F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70FDB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0A71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B65F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0D48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5C941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2590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负责流通领域烟花爆竹质量的监督检查，依法查处违法经营行为。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41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6F3DDD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C1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5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2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322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F797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A0EB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5F51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9B339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023B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D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8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554D9A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D4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6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A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A8E0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DCA8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1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EB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3AEF6400">
        <w:tblPrEx>
          <w:tblCellMar>
            <w:top w:w="0" w:type="dxa"/>
            <w:left w:w="108" w:type="dxa"/>
            <w:bottom w:w="0" w:type="dxa"/>
            <w:right w:w="108" w:type="dxa"/>
          </w:tblCellMar>
        </w:tblPrEx>
        <w:trPr>
          <w:trHeight w:val="43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D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36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6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B02F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05CCB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FF73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0ED6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E3604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E413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59A2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9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6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57D0DC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AD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0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4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595EAB5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860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04B684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1B3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7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5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2FE3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6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C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496BF8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67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2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C8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19C01D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93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6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5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2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A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F0AF4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25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8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A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3ECBF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A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12" w:name="_GoBack"/>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三在村</w:t>
            </w:r>
            <w:bookmarkEnd w:id="12"/>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2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962533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8D1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E3827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3A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B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A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65CC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1A9C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F0FE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600F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4F38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6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7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68A6E2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18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2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2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7D54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57D2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B250A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28B3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4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E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3CCBB5A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CF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1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35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A92E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424A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38160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AC26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C0B1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6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C5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3EF48F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AD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1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2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C1B6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4CDE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1468BF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B43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C4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5F47A6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4D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CC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0A380B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7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6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2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4B5949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2A1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D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3E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0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2566D1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56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E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9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504634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7DB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3505E8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F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B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4F08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E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4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C1A14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F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F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0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5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6F1FF9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C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C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2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C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4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DEFC7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1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2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1C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0FFE7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E90C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BB7E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79600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9D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075A7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1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6E7946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0C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C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3851D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县生态环境局</w:t>
            </w:r>
          </w:p>
          <w:p w14:paraId="1D337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县林业局</w:t>
            </w:r>
          </w:p>
          <w:p w14:paraId="14950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县农业农村委</w:t>
            </w:r>
          </w:p>
          <w:p w14:paraId="2743F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0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537FEC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C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9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A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286D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4EB8EC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81B2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9FD4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2CD8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EB62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D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60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1DFD7E8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867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1D03EB5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65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EB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1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3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5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154C5B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5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9F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B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6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590202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9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A2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4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1E2FF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B9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E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A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F042BDF">
      <w:pPr>
        <w:pStyle w:val="2"/>
        <w:spacing w:before="0" w:after="0" w:line="240" w:lineRule="auto"/>
        <w:jc w:val="center"/>
        <w:rPr>
          <w:rFonts w:hint="eastAsia" w:ascii="Times New Roman" w:hAnsi="Times New Roman" w:eastAsia="方正公文小标宋" w:cs="Times New Roman"/>
          <w:b w:val="0"/>
          <w:lang w:eastAsia="zh-CN"/>
        </w:rPr>
      </w:pPr>
    </w:p>
    <w:p w14:paraId="6AA0209A">
      <w:pPr>
        <w:rPr>
          <w:rFonts w:hint="eastAsia" w:ascii="Times New Roman" w:hAnsi="Times New Roman" w:eastAsia="方正公文小标宋" w:cs="Times New Roman"/>
          <w:b w:val="0"/>
          <w:lang w:eastAsia="zh-CN"/>
        </w:rPr>
      </w:pPr>
    </w:p>
    <w:p w14:paraId="0F26F5BE">
      <w:pPr>
        <w:rPr>
          <w:rFonts w:hint="eastAsia" w:ascii="Times New Roman" w:hAnsi="Times New Roman" w:eastAsia="方正公文小标宋" w:cs="Times New Roman"/>
          <w:b w:val="0"/>
          <w:lang w:eastAsia="zh-CN"/>
        </w:rPr>
      </w:pPr>
    </w:p>
    <w:p w14:paraId="5B09A207">
      <w:pPr>
        <w:rPr>
          <w:rFonts w:hint="eastAsia" w:ascii="Times New Roman" w:hAnsi="Times New Roman" w:eastAsia="方正公文小标宋" w:cs="Times New Roman"/>
          <w:b w:val="0"/>
          <w:lang w:eastAsia="zh-CN"/>
        </w:rPr>
      </w:pPr>
    </w:p>
    <w:p w14:paraId="74912D29">
      <w:pPr>
        <w:rPr>
          <w:rFonts w:hint="eastAsia" w:ascii="Times New Roman" w:hAnsi="Times New Roman" w:eastAsia="方正公文小标宋" w:cs="Times New Roman"/>
          <w:b w:val="0"/>
          <w:lang w:eastAsia="zh-CN"/>
        </w:rPr>
      </w:pPr>
    </w:p>
    <w:p w14:paraId="6CA7D249">
      <w:pPr>
        <w:rPr>
          <w:rFonts w:hint="eastAsia" w:ascii="Times New Roman" w:hAnsi="Times New Roman" w:eastAsia="方正公文小标宋" w:cs="Times New Roman"/>
          <w:b w:val="0"/>
          <w:lang w:eastAsia="zh-CN"/>
        </w:rPr>
      </w:pPr>
    </w:p>
    <w:p w14:paraId="4B3CC5EC">
      <w:pPr>
        <w:rPr>
          <w:rFonts w:hint="eastAsia" w:ascii="Times New Roman" w:hAnsi="Times New Roman" w:eastAsia="方正公文小标宋" w:cs="Times New Roman"/>
          <w:b w:val="0"/>
          <w:lang w:eastAsia="zh-CN"/>
        </w:rPr>
      </w:pPr>
    </w:p>
    <w:p w14:paraId="24B0F55D">
      <w:pPr>
        <w:rPr>
          <w:rFonts w:hint="eastAsia" w:ascii="Times New Roman" w:hAnsi="Times New Roman" w:eastAsia="方正公文小标宋" w:cs="Times New Roman"/>
          <w:b w:val="0"/>
          <w:lang w:eastAsia="zh-CN"/>
        </w:rPr>
      </w:pPr>
    </w:p>
    <w:p w14:paraId="51809C2F">
      <w:pPr>
        <w:pStyle w:val="2"/>
        <w:spacing w:before="0" w:after="0" w:line="240" w:lineRule="auto"/>
        <w:jc w:val="center"/>
        <w:rPr>
          <w:rFonts w:hint="eastAsia" w:ascii="Times New Roman" w:hAnsi="Times New Roman" w:eastAsia="方正公文小标宋" w:cs="Times New Roman"/>
          <w:b w:val="0"/>
          <w:lang w:eastAsia="zh-CN"/>
        </w:rPr>
      </w:pPr>
    </w:p>
    <w:p w14:paraId="75849FDE">
      <w:pPr>
        <w:rPr>
          <w:rFonts w:hint="eastAsia" w:ascii="Times New Roman" w:hAnsi="Times New Roman" w:eastAsia="方正公文小标宋" w:cs="Times New Roman"/>
          <w:b w:val="0"/>
          <w:lang w:eastAsia="zh-CN"/>
        </w:rPr>
      </w:pPr>
    </w:p>
    <w:bookmarkEnd w:id="8"/>
    <w:bookmarkEnd w:id="9"/>
    <w:bookmarkEnd w:id="10"/>
    <w:bookmarkEnd w:id="11"/>
    <w:p w14:paraId="3253FBCD">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hint="eastAsia" w:ascii="方正小标宋_GBK" w:hAnsi="宋体" w:eastAsia="方正小标宋_GBK" w:cs="方正小标宋_GBK"/>
          <w:b w:val="0"/>
          <w:snapToGrid/>
          <w:lang w:eastAsia="zh-CN"/>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20FDA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D16B">
            <w:pPr>
              <w:keepNext w:val="0"/>
              <w:keepLines w:val="0"/>
              <w:pageBreakBefore w:val="0"/>
              <w:widowControl/>
              <w:wordWrap/>
              <w:overflowPunct/>
              <w:topLinePunct w:val="0"/>
              <w:autoSpaceDE w:val="0"/>
              <w:autoSpaceDN w:val="0"/>
              <w:bidi w:val="0"/>
              <w:adjustRightInd w:val="0"/>
              <w:snapToGrid w:val="0"/>
              <w:spacing w:line="300" w:lineRule="exact"/>
              <w:jc w:val="center"/>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488">
            <w:pPr>
              <w:keepNext w:val="0"/>
              <w:keepLines w:val="0"/>
              <w:pageBreakBefore w:val="0"/>
              <w:widowControl/>
              <w:wordWrap/>
              <w:overflowPunct/>
              <w:topLinePunct w:val="0"/>
              <w:autoSpaceDE w:val="0"/>
              <w:autoSpaceDN w:val="0"/>
              <w:bidi w:val="0"/>
              <w:adjustRightInd w:val="0"/>
              <w:snapToGrid w:val="0"/>
              <w:spacing w:line="300" w:lineRule="exact"/>
              <w:jc w:val="center"/>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3680">
            <w:pPr>
              <w:keepNext w:val="0"/>
              <w:keepLines w:val="0"/>
              <w:pageBreakBefore w:val="0"/>
              <w:widowControl/>
              <w:wordWrap/>
              <w:overflowPunct/>
              <w:topLinePunct w:val="0"/>
              <w:autoSpaceDE w:val="0"/>
              <w:autoSpaceDN w:val="0"/>
              <w:bidi w:val="0"/>
              <w:adjustRightInd w:val="0"/>
              <w:snapToGrid w:val="0"/>
              <w:spacing w:line="300" w:lineRule="exact"/>
              <w:jc w:val="center"/>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bidi="ar"/>
              </w:rPr>
              <w:t>承接部门及工作方式</w:t>
            </w:r>
          </w:p>
        </w:tc>
      </w:tr>
      <w:tr w14:paraId="1669A8F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D5E17">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黑体_GBK" w:cs="Times New Roman"/>
                <w:sz w:val="21"/>
                <w:szCs w:val="21"/>
              </w:rPr>
            </w:pPr>
            <w:r>
              <w:rPr>
                <w:rStyle w:val="16"/>
                <w:rFonts w:hint="default" w:ascii="Times New Roman" w:hAnsi="Times New Roman" w:eastAsia="方正黑体_GBK" w:cs="Times New Roman"/>
                <w:color w:val="auto"/>
                <w:sz w:val="21"/>
                <w:szCs w:val="21"/>
                <w:lang w:bidi="ar"/>
              </w:rPr>
              <w:t>一、经济发展（14项）</w:t>
            </w:r>
          </w:p>
        </w:tc>
      </w:tr>
      <w:tr w14:paraId="06D01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F4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91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4D4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1.加强动植物检疫，普及宣传外来入侵物种危害及防控知识。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2.建立外来入侵物种监测网络。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3.制定外来入侵物种应急预案，组织清除行动。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4.推广防治技术。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5.监管农业经营主体，联合相关部门执法。</w:t>
            </w:r>
          </w:p>
        </w:tc>
      </w:tr>
      <w:tr w14:paraId="41D0B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7C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5D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11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会同有关部门建立外来入侵物种普查制度，定期组织开展全国普查，掌握外来入侵物种的种类数量、分布范围、危害程度等情况，建立本地物种数据库。</w:t>
            </w:r>
          </w:p>
        </w:tc>
      </w:tr>
      <w:tr w14:paraId="6C07B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F5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87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9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1.购买社会化服务。委托三方机构开展水生动物疫病调查、检测等。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2.建立县、乡镇（街道）渔业灾害病害以及水生动物疫情信息共享机制。</w:t>
            </w:r>
          </w:p>
        </w:tc>
      </w:tr>
      <w:tr w14:paraId="14765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13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E9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33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1.发布水产相关信息。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2.为养殖户提供技术培训、发放水产养殖技术宣传资料。</w:t>
            </w:r>
          </w:p>
        </w:tc>
      </w:tr>
      <w:tr w14:paraId="5E48A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E7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BF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998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1.实行分片区检疫。</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2.由县动物卫生监督所指派官方兽医实施。</w:t>
            </w:r>
          </w:p>
        </w:tc>
      </w:tr>
      <w:tr w14:paraId="655E4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E9F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186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BB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1.购买社会化服务，委托三方机构组织实施。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2.建立县、乡镇（街道）动物疫情信息共享机制。</w:t>
            </w:r>
          </w:p>
        </w:tc>
      </w:tr>
      <w:tr w14:paraId="6B6C9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CA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1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F8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1.开展畜牧品种资源的调查、收集、整理、保护和开发利用。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2.开展畜牧新品种、新品系的引进、试验工作。</w:t>
            </w:r>
          </w:p>
        </w:tc>
      </w:tr>
      <w:tr w14:paraId="063C7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1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87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157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承接部门：县农业农村委、县生态环境局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1.负责结合本地实际情况，推广适合规模以下养殖的废弃物综合利用实用技术和模式。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3.培训和指导乡镇（街道）技术人员开展规模以下畜禽粪污资源化利用。</w:t>
            </w:r>
          </w:p>
          <w:p w14:paraId="244A66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195475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负责对规模以下畜禽养殖废弃物排放情况进行监督检查，依法查处违法排放行为，确保养殖废弃物综合利用符合环境保护要求。</w:t>
            </w:r>
          </w:p>
        </w:tc>
      </w:tr>
      <w:tr w14:paraId="21FFE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3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AC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D91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1.制定年度农机安全生产监督检查方案，明确检查重点、频次及责任分工。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2.开展春耕、三夏、秋收等农忙季节专项检查，重点查处无牌行驶、无证驾驶、违法载人等行为。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3.对乡镇（街道）农机安全资料清单开展检查。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4.召开农机安全工作会议。</w:t>
            </w:r>
          </w:p>
        </w:tc>
      </w:tr>
      <w:tr w14:paraId="6A1F2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D3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B9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D7A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负责渔业船舶登记审批工作。</w:t>
            </w:r>
          </w:p>
        </w:tc>
      </w:tr>
      <w:tr w14:paraId="43A1F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8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EDF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0F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负责国家二级保护野生植物（农业类）采集的初审工作。</w:t>
            </w:r>
          </w:p>
        </w:tc>
      </w:tr>
      <w:tr w14:paraId="32AEA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17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6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945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1.购买社会化服务，委托三方机构组织实施。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2.建立县、乡镇（街道）水产养殖病害防治及水生动物疫情信息共享机制。</w:t>
            </w:r>
          </w:p>
        </w:tc>
      </w:tr>
      <w:tr w14:paraId="57112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8B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8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1.受理取水申请，审核相关材料。</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2.建立取水许可档案，定期更新取水台账系统。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3.对纳入许可管理的单位实施年度取水计划管理，监测实施取水量。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4.检查取水计量设施运行、节水措施执行及退水处理情况，查处超量取水等违法行为。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5.根据水源变化或政策要求，核减或限制取水量，处理许可证延续、注销等事项。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6.向取水单位普及节水技术，推广水平衡测试，协助完成水资源论证。</w:t>
            </w:r>
          </w:p>
        </w:tc>
      </w:tr>
      <w:tr w14:paraId="19E03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2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62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81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1.负责集体土地所有权权属调查与确认。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2.受理与审核农村集体经济组织提交的登记申请材料。</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3.颁发《不动产权证书》及建立集体土地所有权登记档案。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4.开展土地管理法律法规和政策宣传。</w:t>
            </w:r>
          </w:p>
        </w:tc>
      </w:tr>
      <w:tr w14:paraId="448F968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4534D">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二、民生服务（1</w:t>
            </w:r>
            <w:r>
              <w:rPr>
                <w:rStyle w:val="16"/>
                <w:rFonts w:hint="eastAsia" w:ascii="Times New Roman" w:hAnsi="Times New Roman" w:eastAsia="方正黑体_GBK" w:cs="Times New Roman"/>
                <w:b w:val="0"/>
                <w:bCs w:val="0"/>
                <w:i w:val="0"/>
                <w:iCs w:val="0"/>
                <w:strike w:val="0"/>
                <w:dstrike w:val="0"/>
                <w:color w:val="auto"/>
                <w:sz w:val="21"/>
                <w:szCs w:val="21"/>
                <w:lang w:val="en-US" w:eastAsia="zh-CN" w:bidi="ar"/>
              </w:rPr>
              <w:t>4</w:t>
            </w:r>
            <w:r>
              <w:rPr>
                <w:rStyle w:val="16"/>
                <w:rFonts w:hint="default" w:ascii="Times New Roman" w:hAnsi="Times New Roman" w:eastAsia="方正黑体_GBK" w:cs="Times New Roman"/>
                <w:b w:val="0"/>
                <w:bCs w:val="0"/>
                <w:i w:val="0"/>
                <w:iCs w:val="0"/>
                <w:strike w:val="0"/>
                <w:dstrike w:val="0"/>
                <w:color w:val="auto"/>
                <w:sz w:val="21"/>
                <w:szCs w:val="21"/>
                <w:lang w:bidi="ar"/>
              </w:rPr>
              <w:t>项）</w:t>
            </w:r>
          </w:p>
        </w:tc>
      </w:tr>
      <w:tr w14:paraId="0204D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A1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08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B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1.核实是否存在违规领取的高龄津贴现象。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2.向乡镇提供追缴违规领取的高龄津贴名单。</w:t>
            </w:r>
          </w:p>
        </w:tc>
      </w:tr>
      <w:tr w14:paraId="13674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5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6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04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法律法规条款已失效，不再开展此项工作。</w:t>
            </w:r>
          </w:p>
        </w:tc>
      </w:tr>
      <w:tr w14:paraId="1D814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C1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B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C4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承接部门：县卫生健康委、县财政局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2.乡镇政府、街道办事处协同县卫生健康委、县财政局追回超领、冒领的扶助资金。</w:t>
            </w:r>
          </w:p>
        </w:tc>
      </w:tr>
      <w:tr w14:paraId="469B3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D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BB5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6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根据优化生育政策要求，不再开展此项工作。</w:t>
            </w:r>
          </w:p>
        </w:tc>
      </w:tr>
      <w:tr w14:paraId="59510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0B8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C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48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负责发放避孕药具。</w:t>
            </w:r>
          </w:p>
        </w:tc>
      </w:tr>
      <w:tr w14:paraId="19B7A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AD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60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FC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1.严格遵从计划生育重要时间节点的上级文件要求，开展相关宣传服务活动。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2.认真传达贯彻上级文件要求，指导乡镇协同开展相关服务活动。</w:t>
            </w:r>
          </w:p>
        </w:tc>
      </w:tr>
      <w:tr w14:paraId="45745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1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02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DE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负责高校应届毕业生生源信息导出和核查工作。</w:t>
            </w:r>
          </w:p>
        </w:tc>
      </w:tr>
      <w:tr w14:paraId="446E4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A6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31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CD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负责就业帮扶培训政策宣传、人员摸排及培训。</w:t>
            </w:r>
          </w:p>
        </w:tc>
      </w:tr>
      <w:tr w14:paraId="17073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3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6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11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负责创业实体信息及就业务工信息统计工作。</w:t>
            </w:r>
          </w:p>
        </w:tc>
      </w:tr>
      <w:tr w14:paraId="77E42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4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98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51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承接部门：县医保局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负责受理、核实门诊费用报销申请并办理相关业务。</w:t>
            </w:r>
          </w:p>
        </w:tc>
      </w:tr>
      <w:tr w14:paraId="406A6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C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F0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91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承接部门：县医保局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负责受理、核实住院费用报销申请并办理相关业务。</w:t>
            </w:r>
          </w:p>
        </w:tc>
      </w:tr>
      <w:tr w14:paraId="33C25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BF9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D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承接部门：县医保局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负责城乡居民基本医疗保险已缴费人员统计。</w:t>
            </w:r>
          </w:p>
        </w:tc>
      </w:tr>
      <w:tr w14:paraId="1131D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CA9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2F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负责开设巾帼夜校及课程。</w:t>
            </w:r>
          </w:p>
        </w:tc>
      </w:tr>
      <w:tr w14:paraId="630C9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E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E4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16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开展三峡技校招生宣传，完成招生入学。</w:t>
            </w:r>
          </w:p>
        </w:tc>
      </w:tr>
      <w:tr w14:paraId="502A94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06C57">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三、平安法治（1</w:t>
            </w:r>
            <w:r>
              <w:rPr>
                <w:rStyle w:val="16"/>
                <w:rFonts w:hint="eastAsia" w:ascii="Times New Roman" w:hAnsi="Times New Roman" w:eastAsia="方正黑体_GBK" w:cs="Times New Roman"/>
                <w:b w:val="0"/>
                <w:bCs w:val="0"/>
                <w:i w:val="0"/>
                <w:iCs w:val="0"/>
                <w:strike w:val="0"/>
                <w:dstrike w:val="0"/>
                <w:color w:val="auto"/>
                <w:sz w:val="21"/>
                <w:szCs w:val="21"/>
                <w:lang w:val="en-US" w:eastAsia="zh-CN" w:bidi="ar"/>
              </w:rPr>
              <w:t>7</w:t>
            </w:r>
            <w:r>
              <w:rPr>
                <w:rStyle w:val="16"/>
                <w:rFonts w:hint="default" w:ascii="Times New Roman" w:hAnsi="Times New Roman" w:eastAsia="方正黑体_GBK" w:cs="Times New Roman"/>
                <w:b w:val="0"/>
                <w:bCs w:val="0"/>
                <w:i w:val="0"/>
                <w:iCs w:val="0"/>
                <w:strike w:val="0"/>
                <w:dstrike w:val="0"/>
                <w:color w:val="auto"/>
                <w:sz w:val="21"/>
                <w:szCs w:val="21"/>
                <w:lang w:bidi="ar"/>
              </w:rPr>
              <w:t>项）</w:t>
            </w:r>
          </w:p>
        </w:tc>
      </w:tr>
      <w:tr w14:paraId="63A2E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85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8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负责对违反《基本农田保护条例》规定，破坏或者擅自改变基本农田保护区标志的行为，开展立案、调查、处罚、回访。</w:t>
            </w:r>
          </w:p>
        </w:tc>
      </w:tr>
      <w:tr w14:paraId="77295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1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26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5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负责烟花爆竹经营（零售）许可证换证现场核查。</w:t>
            </w:r>
          </w:p>
        </w:tc>
      </w:tr>
      <w:tr w14:paraId="6BD1D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A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3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E19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负责烟花爆竹经营企业（批发、零售）监督检查工作。</w:t>
            </w:r>
          </w:p>
        </w:tc>
      </w:tr>
      <w:tr w14:paraId="564D5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CD3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1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负责对非煤矿山企业、尾矿库开展日常安全生产监督检查。</w:t>
            </w:r>
          </w:p>
        </w:tc>
      </w:tr>
      <w:tr w14:paraId="4C1A8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C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D1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负责对非煤矿山外包工程安全生产开展监督检查。</w:t>
            </w:r>
          </w:p>
        </w:tc>
      </w:tr>
      <w:tr w14:paraId="51AAD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4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8A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E1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负责对生产经营单位消除重大事故隐患开展监督检查。</w:t>
            </w:r>
          </w:p>
        </w:tc>
      </w:tr>
      <w:tr w14:paraId="595D3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0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6F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DD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负责对粉尘涉爆企业实施安全监督管理。</w:t>
            </w:r>
          </w:p>
        </w:tc>
      </w:tr>
      <w:tr w14:paraId="4F691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51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41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负责摩托车、人力三轮车、残疾人机动轮椅及装配动力装置的无牌无证车辆管理整治工作。</w:t>
            </w:r>
          </w:p>
        </w:tc>
      </w:tr>
      <w:tr w14:paraId="6349F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B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622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EA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对销售无卫生许可批准文件的涉及饮用水卫生安全的产品的行为，开展立案、调查、处罚、回访。</w:t>
            </w:r>
          </w:p>
        </w:tc>
      </w:tr>
      <w:tr w14:paraId="0F350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4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3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对制造、销售封建迷信殡葬用品的行为，开展立案、调查、处罚、回访。</w:t>
            </w:r>
          </w:p>
        </w:tc>
      </w:tr>
      <w:tr w14:paraId="3249F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4A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5F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承接部门：县司法局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开展法律援助指导监督和组织实施工作。</w:t>
            </w:r>
          </w:p>
        </w:tc>
      </w:tr>
      <w:tr w14:paraId="1309A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7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1EF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62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派执法人员现场检查，依法做出处罚决定。</w:t>
            </w:r>
          </w:p>
        </w:tc>
      </w:tr>
      <w:tr w14:paraId="7B104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6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88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3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1.协调选址建设微型消防站。</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2.配备相关消防设施设备、人员等。</w:t>
            </w:r>
          </w:p>
        </w:tc>
      </w:tr>
      <w:tr w14:paraId="27E3F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E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5E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81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开展加油站安全监督检查工作。</w:t>
            </w:r>
          </w:p>
        </w:tc>
      </w:tr>
      <w:tr w14:paraId="50278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F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DB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81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对娱乐场所未在显著位置悬挂娱乐经营许可证、未成年人禁入或者限入标志以及标志未注明举报电话的行为，开展立案、调查、处罚、回访。</w:t>
            </w:r>
          </w:p>
        </w:tc>
      </w:tr>
      <w:tr w14:paraId="76D7D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7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4D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FD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对歌舞娱乐场所违反《娱乐场所管理条例》规定接纳未成年人的行为，开展立案、调查、处罚、回访。</w:t>
            </w:r>
          </w:p>
        </w:tc>
      </w:tr>
      <w:tr w14:paraId="568DB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B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5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81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负责对烟花爆竹零售店进行初审、终审及许可证办理。</w:t>
            </w:r>
          </w:p>
        </w:tc>
      </w:tr>
      <w:tr w14:paraId="3EFEBC5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F80FC">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四、乡村振兴（1项）</w:t>
            </w:r>
          </w:p>
        </w:tc>
      </w:tr>
      <w:tr w14:paraId="7BA32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A9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EB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2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落实党中央为基层减负有关要求，不再开展此项工作。</w:t>
            </w:r>
          </w:p>
        </w:tc>
      </w:tr>
      <w:tr w14:paraId="36BF138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D92B3">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五、生态环保（9项）</w:t>
            </w:r>
          </w:p>
        </w:tc>
      </w:tr>
      <w:tr w14:paraId="7BEF0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B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C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06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1.将符合纳入台账管理条件的工业固体废物纳入台账管理，作好企业守法培训。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2.对涉工业固体废物的违法行为依法进行立案查处。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3.涉嫌刑事违法的依法移送县公安部门追究刑事责任。</w:t>
            </w:r>
          </w:p>
        </w:tc>
      </w:tr>
      <w:tr w14:paraId="4014D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8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2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24F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2.按规定对水质进行采样监测。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3.对涉集中式饮用水源地的违法行为进行立案查处。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4.涉嫌刑事违法的依法移送县公安部门追究刑事责任。</w:t>
            </w:r>
          </w:p>
        </w:tc>
      </w:tr>
      <w:tr w14:paraId="3B4ED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2B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10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67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1.不断完善噪声污染防治制度体系，强化源头防控，厘清防治责任，促进声环境质量不断改善。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2.对涉及噪声的违法行为依法进行立案查处。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3.涉嫌刑事违法的依法移送县公安部门追究刑事责任。</w:t>
            </w:r>
          </w:p>
        </w:tc>
      </w:tr>
      <w:tr w14:paraId="3F12A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8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D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F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对非法采砂行为开展巡查与整改。</w:t>
            </w:r>
          </w:p>
        </w:tc>
      </w:tr>
      <w:tr w14:paraId="6D645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0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B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8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负责小型水库安全监督和防汛监督管理。</w:t>
            </w:r>
          </w:p>
        </w:tc>
      </w:tr>
      <w:tr w14:paraId="28D1A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4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46D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B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1.负责采取林分改造、森林抚育等措施，落实公益林保护相关事项。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2.负责聘请护林员开展公益林管护事项。</w:t>
            </w:r>
          </w:p>
        </w:tc>
      </w:tr>
      <w:tr w14:paraId="75636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6E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D96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1.负责受理林木采伐申请。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2.负责实地核实、审批、公示林木采伐需求。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3.负责办理发放林木采伐许可。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4.负责林木采伐监管。</w:t>
            </w:r>
          </w:p>
        </w:tc>
      </w:tr>
      <w:tr w14:paraId="6E15B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6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FE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6E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1.负责监测林业有害生物。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2.负责检疫林业有害生物。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3.负责防治林业有害生物工作。</w:t>
            </w:r>
          </w:p>
        </w:tc>
      </w:tr>
      <w:tr w14:paraId="6CB0C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E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918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27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接到报告后，动物卫生监督所指派官方兽医赶赴现场，核实情况并启动处置程序。</w:t>
            </w:r>
          </w:p>
        </w:tc>
      </w:tr>
      <w:tr w14:paraId="20421D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768B9">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b w:val="0"/>
                <w:bCs w:val="0"/>
                <w:i w:val="0"/>
                <w:iCs w:val="0"/>
                <w:strike w:val="0"/>
                <w:dstrike w:val="0"/>
                <w:color w:val="auto"/>
                <w:sz w:val="21"/>
                <w:szCs w:val="21"/>
                <w:lang w:bidi="ar"/>
              </w:rPr>
              <w:t>六、城乡建设（5项）</w:t>
            </w:r>
          </w:p>
        </w:tc>
      </w:tr>
      <w:tr w14:paraId="682F3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26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C48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D0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承担全县集体土地征收补偿安置具体实施的事务性工作。</w:t>
            </w:r>
          </w:p>
        </w:tc>
      </w:tr>
      <w:tr w14:paraId="69F98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EB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B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按照规定开展扩建、改建各类老旧小区和市政基础设施工程质量监督管理。</w:t>
            </w:r>
          </w:p>
        </w:tc>
      </w:tr>
      <w:tr w14:paraId="002FD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8A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17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按照相关规定开展房屋安全评估。</w:t>
            </w:r>
          </w:p>
        </w:tc>
      </w:tr>
      <w:tr w14:paraId="0B630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03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54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3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按照规定开展农村住房安全鉴定评定工作。</w:t>
            </w:r>
          </w:p>
        </w:tc>
      </w:tr>
      <w:tr w14:paraId="11612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7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EF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A55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承接部门：县住房城乡建委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工作方式：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开展自建房安全等级鉴定。</w:t>
            </w:r>
          </w:p>
        </w:tc>
      </w:tr>
    </w:tbl>
    <w:p w14:paraId="14DA5EBB">
      <w:pPr>
        <w:pStyle w:val="2"/>
        <w:spacing w:before="0" w:after="0" w:line="240" w:lineRule="auto"/>
        <w:jc w:val="center"/>
        <w:rPr>
          <w:rFonts w:ascii="Times New Roman" w:hAnsi="Times New Roman" w:eastAsia="方正小标宋_GBK" w:cs="Times New Roman"/>
          <w:color w:val="auto"/>
          <w:spacing w:val="7"/>
          <w:lang w:eastAsia="zh-CN"/>
        </w:rPr>
      </w:pPr>
    </w:p>
    <w:p w14:paraId="6B8C31B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DD4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59E4F92">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59E4F92">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F50">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1A2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3A181A"/>
    <w:rsid w:val="0D635AEC"/>
    <w:rsid w:val="0D9E0052"/>
    <w:rsid w:val="10863702"/>
    <w:rsid w:val="117B77A2"/>
    <w:rsid w:val="1A261B0B"/>
    <w:rsid w:val="1A271AB1"/>
    <w:rsid w:val="26024528"/>
    <w:rsid w:val="288B33D4"/>
    <w:rsid w:val="34932E71"/>
    <w:rsid w:val="4229426D"/>
    <w:rsid w:val="47437420"/>
    <w:rsid w:val="5D9A123A"/>
    <w:rsid w:val="64AB6F9F"/>
    <w:rsid w:val="76E0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2025-08-27T11:38:04Z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74A62C6A607644B5B8278E6500616261_12</vt:lpwstr>
  </property>
</Properties>
</file>