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6B4F6">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附件22</w:t>
      </w:r>
    </w:p>
    <w:p w14:paraId="0CF0CF8C">
      <w:pPr>
        <w:pStyle w:val="7"/>
        <w:jc w:val="left"/>
        <w:rPr>
          <w:rFonts w:hint="default" w:ascii="Times New Roman" w:hAnsi="Times New Roman" w:eastAsia="方正公文小标宋" w:cs="Times New Roman"/>
          <w:b w:val="0"/>
          <w:sz w:val="84"/>
          <w:szCs w:val="84"/>
          <w:lang w:eastAsia="zh-CN"/>
        </w:rPr>
      </w:pPr>
    </w:p>
    <w:p w14:paraId="7EFBD67B">
      <w:pPr>
        <w:rPr>
          <w:rFonts w:hint="default" w:ascii="Times New Roman" w:hAnsi="Times New Roman" w:eastAsia="方正公文小标宋" w:cs="Times New Roman"/>
          <w:b w:val="0"/>
          <w:sz w:val="84"/>
          <w:szCs w:val="84"/>
          <w:lang w:eastAsia="zh-CN"/>
        </w:rPr>
      </w:pPr>
    </w:p>
    <w:p w14:paraId="477D4CF9">
      <w:pPr>
        <w:pStyle w:val="12"/>
        <w:ind w:left="0" w:leftChars="0" w:firstLine="0" w:firstLineChars="0"/>
        <w:rPr>
          <w:rFonts w:hint="default" w:ascii="Times New Roman" w:hAnsi="Times New Roman" w:eastAsia="方正公文小标宋" w:cs="Times New Roman"/>
          <w:b w:val="0"/>
          <w:sz w:val="84"/>
          <w:szCs w:val="84"/>
          <w:lang w:eastAsia="zh-CN"/>
        </w:rPr>
      </w:pPr>
    </w:p>
    <w:p w14:paraId="15493398">
      <w:pPr>
        <w:widowControl w:val="0"/>
        <w:kinsoku/>
        <w:autoSpaceDE/>
        <w:autoSpaceDN/>
        <w:adjustRightInd/>
        <w:snapToGrid/>
        <w:jc w:val="center"/>
        <w:textAlignment w:val="auto"/>
        <w:rPr>
          <w:rFonts w:hint="default" w:ascii="Times New Roman" w:hAnsi="Times New Roman" w:eastAsia="方正小标宋_GBK" w:cs="Times New Roman"/>
          <w:snapToGrid/>
          <w:color w:val="auto"/>
          <w:kern w:val="2"/>
          <w:sz w:val="72"/>
          <w:szCs w:val="72"/>
          <w:lang w:eastAsia="zh-CN"/>
        </w:rPr>
      </w:pPr>
      <w:r>
        <w:rPr>
          <w:rFonts w:hint="default" w:ascii="Times New Roman" w:hAnsi="Times New Roman" w:eastAsia="方正小标宋_GBK" w:cs="Times New Roman"/>
          <w:snapToGrid/>
          <w:color w:val="auto"/>
          <w:kern w:val="2"/>
          <w:sz w:val="72"/>
          <w:szCs w:val="72"/>
          <w:lang w:eastAsia="zh-CN"/>
        </w:rPr>
        <w:t>重庆市丰都县暨龙镇履行职责事项清单</w:t>
      </w:r>
    </w:p>
    <w:p w14:paraId="3B916F16">
      <w:pPr>
        <w:rPr>
          <w:rFonts w:hint="default" w:ascii="Times New Roman" w:hAnsi="Times New Roman" w:eastAsia="方正公文小标宋" w:cs="Times New Roman"/>
          <w:sz w:val="84"/>
          <w:szCs w:val="84"/>
          <w:lang w:eastAsia="zh-CN"/>
        </w:rPr>
      </w:pPr>
    </w:p>
    <w:p w14:paraId="74086F64">
      <w:pPr>
        <w:rPr>
          <w:rFonts w:hint="default" w:ascii="Times New Roman" w:hAnsi="Times New Roman" w:eastAsia="方正公文小标宋" w:cs="Times New Roman"/>
          <w:sz w:val="84"/>
          <w:szCs w:val="84"/>
          <w:lang w:eastAsia="zh-CN"/>
        </w:rPr>
      </w:pPr>
    </w:p>
    <w:p w14:paraId="6F749D9C">
      <w:pPr>
        <w:kinsoku/>
        <w:autoSpaceDE/>
        <w:autoSpaceDN/>
        <w:adjustRightInd/>
        <w:snapToGrid/>
        <w:textAlignment w:val="auto"/>
        <w:rPr>
          <w:rFonts w:hint="default" w:ascii="Times New Roman" w:hAnsi="Times New Roman" w:cs="Times New Roman" w:eastAsiaTheme="minorEastAsia"/>
          <w:b/>
          <w:sz w:val="32"/>
          <w:lang w:eastAsia="zh-CN"/>
        </w:rPr>
      </w:pPr>
      <w:r>
        <w:rPr>
          <w:rFonts w:hint="default" w:ascii="Times New Roman" w:hAnsi="Times New Roman" w:cs="Times New Roman" w:eastAsiaTheme="minorEastAsia"/>
          <w:lang w:eastAsia="zh-CN"/>
        </w:rPr>
        <w:br w:type="page"/>
      </w:r>
    </w:p>
    <w:sdt>
      <w:sdtPr>
        <w:rPr>
          <w:rFonts w:hint="default"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zh-CN" w:eastAsia="en-US"/>
        </w:rPr>
      </w:sdtEndPr>
      <w:sdtContent>
        <w:p w14:paraId="304B5FFE">
          <w:pPr>
            <w:pStyle w:val="20"/>
            <w:jc w:val="center"/>
            <w:rPr>
              <w:rFonts w:hint="default" w:ascii="Times New Roman" w:hAnsi="Times New Roman" w:eastAsia="方正小标宋_GBK" w:cs="Times New Roman"/>
              <w:b w:val="0"/>
              <w:bCs w:val="0"/>
              <w:snapToGrid/>
              <w:color w:val="auto"/>
              <w:kern w:val="2"/>
              <w:sz w:val="44"/>
              <w:szCs w:val="44"/>
              <w:lang w:val="zh-CN" w:eastAsia="zh-CN" w:bidi="ar-SA"/>
            </w:rPr>
          </w:pPr>
          <w:r>
            <w:rPr>
              <w:rFonts w:hint="default" w:ascii="Times New Roman" w:hAnsi="Times New Roman" w:eastAsia="方正小标宋_GBK" w:cs="Times New Roman"/>
              <w:b w:val="0"/>
              <w:bCs w:val="0"/>
              <w:snapToGrid/>
              <w:color w:val="auto"/>
              <w:kern w:val="2"/>
              <w:sz w:val="44"/>
              <w:szCs w:val="44"/>
              <w:lang w:val="zh-CN" w:eastAsia="zh-CN" w:bidi="ar-SA"/>
            </w:rPr>
            <w:t>目  录</w:t>
          </w:r>
        </w:p>
        <w:p w14:paraId="73E9ED57">
          <w:pPr>
            <w:rPr>
              <w:rFonts w:hint="default" w:ascii="Times New Roman" w:hAnsi="Times New Roman" w:cs="Times New Roman"/>
              <w:lang w:val="zh-CN" w:eastAsia="zh-CN"/>
            </w:rPr>
          </w:pPr>
        </w:p>
        <w:p w14:paraId="623462B5">
          <w:pPr>
            <w:pStyle w:val="22"/>
            <w:keepNext w:val="0"/>
            <w:keepLines w:val="0"/>
            <w:pageBreakBefore w:val="0"/>
            <w:widowControl/>
            <w:tabs>
              <w:tab w:val="right" w:leader="dot" w:pos="14001"/>
            </w:tabs>
            <w:wordWrap/>
            <w:overflowPunct/>
            <w:topLinePunct w:val="0"/>
            <w:bidi w:val="0"/>
            <w:spacing w:line="360" w:lineRule="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61D02DFE">
          <w:pPr>
            <w:pStyle w:val="22"/>
            <w:keepNext w:val="0"/>
            <w:keepLines w:val="0"/>
            <w:pageBreakBefore w:val="0"/>
            <w:widowControl/>
            <w:tabs>
              <w:tab w:val="right" w:leader="dot" w:pos="14001"/>
            </w:tabs>
            <w:wordWrap/>
            <w:overflowPunct/>
            <w:topLinePunct w:val="0"/>
            <w:bidi w:val="0"/>
            <w:spacing w:line="360" w:lineRule="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default" w:ascii="Times New Roman" w:hAnsi="Times New Roman" w:eastAsia="方正仿宋_GBK" w:cs="Times New Roman"/>
              <w:color w:val="auto"/>
              <w:spacing w:val="7"/>
              <w:sz w:val="32"/>
              <w:szCs w:val="32"/>
              <w:lang w:val="en-US" w:eastAsia="zh-CN"/>
            </w:rPr>
            <w:t>1</w:t>
          </w:r>
        </w:p>
        <w:p w14:paraId="4DDED286">
          <w:pPr>
            <w:pStyle w:val="22"/>
            <w:keepNext w:val="0"/>
            <w:keepLines w:val="0"/>
            <w:pageBreakBefore w:val="0"/>
            <w:widowControl/>
            <w:tabs>
              <w:tab w:val="right" w:leader="dot" w:pos="14001"/>
            </w:tabs>
            <w:wordWrap/>
            <w:overflowPunct/>
            <w:topLinePunct w:val="0"/>
            <w:bidi w:val="0"/>
            <w:spacing w:line="360" w:lineRule="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9</w:t>
          </w:r>
        </w:p>
        <w:p w14:paraId="11E8D8BD">
          <w:pPr>
            <w:pStyle w:val="6"/>
            <w:keepNext w:val="0"/>
            <w:keepLines w:val="0"/>
            <w:pageBreakBefore w:val="0"/>
            <w:widowControl/>
            <w:numPr>
              <w:ilvl w:val="0"/>
              <w:numId w:val="0"/>
            </w:numPr>
            <w:wordWrap/>
            <w:overflowPunct/>
            <w:topLinePunct w:val="0"/>
            <w:bidi w:val="0"/>
            <w:spacing w:line="360" w:lineRule="auto"/>
            <w:ind w:leftChars="0"/>
            <w:rPr>
              <w:rFonts w:hint="default" w:ascii="Times New Roman" w:hAnsi="Times New Roman"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7CDD87EF">
      <w:pPr>
        <w:pStyle w:val="7"/>
        <w:jc w:val="both"/>
        <w:rPr>
          <w:rFonts w:hint="default" w:ascii="Times New Roman" w:hAnsi="Times New Roman" w:eastAsia="方正小标宋_GBK" w:cs="Times New Roman"/>
          <w:color w:val="auto"/>
          <w:spacing w:val="7"/>
          <w:sz w:val="44"/>
          <w:szCs w:val="44"/>
          <w:lang w:eastAsia="zh-CN"/>
        </w:rPr>
      </w:pPr>
    </w:p>
    <w:p w14:paraId="7B37A6B8">
      <w:pPr>
        <w:jc w:val="center"/>
        <w:rPr>
          <w:rFonts w:hint="default" w:ascii="Times New Roman" w:hAnsi="Times New Roman" w:cs="Times New Roman"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4819080">
      <w:pPr>
        <w:pStyle w:val="2"/>
        <w:widowControl w:val="0"/>
        <w:kinsoku/>
        <w:autoSpaceDE/>
        <w:autoSpaceDN/>
        <w:adjustRightInd/>
        <w:snapToGrid/>
        <w:spacing w:before="0" w:after="0" w:line="240" w:lineRule="auto"/>
        <w:jc w:val="center"/>
        <w:textAlignment w:val="auto"/>
        <w:rPr>
          <w:rFonts w:hint="default" w:ascii="Times New Roman" w:hAnsi="Times New Roman" w:eastAsia="方正小标宋_GBK" w:cs="Times New Roman"/>
          <w:b w:val="0"/>
          <w:snapToGrid/>
          <w:lang w:eastAsia="zh-CN"/>
        </w:rPr>
      </w:pPr>
      <w:bookmarkStart w:id="0" w:name="_Toc172077949"/>
      <w:bookmarkStart w:id="1" w:name="_Toc172077416"/>
      <w:bookmarkStart w:id="2" w:name="_Toc172533652"/>
      <w:bookmarkStart w:id="3" w:name="_Toc172077551"/>
      <w:r>
        <w:rPr>
          <w:rFonts w:hint="default" w:ascii="Times New Roman" w:hAnsi="Times New Roman" w:eastAsia="方正小标宋_GBK" w:cs="Times New Roman"/>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878F31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426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i w:val="0"/>
                <w:iCs w:val="0"/>
                <w:strike w:val="0"/>
                <w:dstrike w:val="0"/>
                <w:snapToGrid/>
                <w:color w:val="auto"/>
                <w:kern w:val="2"/>
                <w:sz w:val="21"/>
                <w:szCs w:val="21"/>
                <w:lang w:eastAsia="zh-CN" w:bidi="ar"/>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48B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黑体_GBK" w:cs="Times New Roman"/>
                <w:b w:val="0"/>
                <w:bCs w:val="0"/>
                <w:i w:val="0"/>
                <w:iCs w:val="0"/>
                <w:strike w:val="0"/>
                <w:dstrike w:val="0"/>
                <w:snapToGrid/>
                <w:color w:val="auto"/>
                <w:kern w:val="2"/>
                <w:sz w:val="21"/>
                <w:szCs w:val="21"/>
                <w:lang w:eastAsia="zh-CN" w:bidi="ar"/>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事项名称</w:t>
            </w:r>
          </w:p>
        </w:tc>
      </w:tr>
      <w:tr w14:paraId="7850F78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0C29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一、党的建设（25项）</w:t>
            </w:r>
          </w:p>
        </w:tc>
      </w:tr>
      <w:tr w14:paraId="0EFB82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5D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75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3A9A0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6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3A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307F21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1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F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0A6230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93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43A931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8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3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12AD7B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04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2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724C59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A5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8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100363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4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7B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0FE40F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24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10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1D0D50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2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A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0E8E0E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5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2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1EC41F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2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1A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6F7902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6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FF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65D96F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6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80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388BEE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9A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A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46329C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F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6F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61ABC4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5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DE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43BA2D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60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3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009931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F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0A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1A8E42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A3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333503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6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6C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58EC91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B0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0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55BBAF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96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20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26C28E2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EB7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二、经济发展（10项）</w:t>
            </w:r>
          </w:p>
        </w:tc>
      </w:tr>
      <w:tr w14:paraId="43BC6D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19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E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02B2FA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96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E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6F0D9D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D8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5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012BA9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7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BE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21E43D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6F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9E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0A73EB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4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D1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56B309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81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EE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698912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C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24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61BEE0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9D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26DFF1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67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A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负责推动本镇白酒、冷水鱼等特色产业发展。</w:t>
            </w:r>
          </w:p>
        </w:tc>
      </w:tr>
      <w:tr w14:paraId="7275147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BBB7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三、民生服务（15项）</w:t>
            </w:r>
          </w:p>
        </w:tc>
      </w:tr>
      <w:tr w14:paraId="772F07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9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4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5A87E9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33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AD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68486C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B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F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258266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E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E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4582B7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0C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7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14F414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9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1F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6DB2A5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5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3AB045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F9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43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1E9036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3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83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4263EA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18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B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27FA4E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AE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9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663DF4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D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2B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5B3DED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98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A8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71B7BE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D4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E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7D7B1E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22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9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29AFA20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E5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四、平安法治（16项）</w:t>
            </w:r>
          </w:p>
        </w:tc>
      </w:tr>
      <w:tr w14:paraId="00A8D0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7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9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3CE0C5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E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28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49E72E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59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bidi="ar-SA"/>
              </w:rPr>
            </w:pPr>
            <w:r>
              <w:rPr>
                <w:rFonts w:hint="eastAsia" w:ascii="Times New Roman" w:hAnsi="Times New Roman" w:eastAsia="方正公文仿宋" w:cs="Times New Roman"/>
                <w:b w:val="0"/>
                <w:bCs w:val="0"/>
                <w:snapToGrid w:val="0"/>
                <w:color w:val="auto"/>
                <w:kern w:val="0"/>
                <w:sz w:val="21"/>
                <w:szCs w:val="21"/>
                <w:lang w:val="en-US" w:eastAsia="zh-CN" w:bidi="ar-SA"/>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2A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0A4C9E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6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10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5EEB91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9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E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1CA5E6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A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5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7B6940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66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20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0EC32A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D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1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52F56E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B4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75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2557A6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B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6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632F24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F5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B6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r>
              <w:rPr>
                <w:rFonts w:hint="eastAsia" w:ascii="Times New Roman" w:hAnsi="Times New Roman" w:eastAsia="方正仿宋_GBK" w:cs="Times New Roman"/>
                <w:b w:val="0"/>
                <w:bCs w:val="0"/>
                <w:snapToGrid w:val="0"/>
                <w:color w:val="auto"/>
                <w:kern w:val="0"/>
                <w:sz w:val="21"/>
                <w:szCs w:val="21"/>
                <w:lang w:eastAsia="zh-CN" w:bidi="ar"/>
              </w:rPr>
              <w:t>。</w:t>
            </w:r>
          </w:p>
        </w:tc>
      </w:tr>
      <w:tr w14:paraId="482D71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C7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0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250660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75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00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74084E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71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6C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658429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37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B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6015BD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0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0B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6920E45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BFBC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五、乡村振兴（8项）</w:t>
            </w:r>
          </w:p>
        </w:tc>
      </w:tr>
      <w:tr w14:paraId="619AB6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C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8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75C66C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1D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02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341105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93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B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338345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19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9A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1B5FAB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AC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C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7ED444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95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6F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负责农村人居环境整治工作。</w:t>
            </w:r>
          </w:p>
        </w:tc>
      </w:tr>
      <w:tr w14:paraId="6D191F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FC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B1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29B1D1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E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7</w:t>
            </w:r>
            <w:r>
              <w:rPr>
                <w:rFonts w:hint="eastAsia" w:ascii="Times New Roman" w:hAnsi="Times New Roman" w:eastAsia="方正公文仿宋"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25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54D74A4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DF8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六、生态环保（4项）</w:t>
            </w:r>
          </w:p>
        </w:tc>
      </w:tr>
      <w:tr w14:paraId="797AD6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65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2B256F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B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D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78AE4F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F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B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60F6F4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2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DF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3B29F99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27D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七、城乡建设（6项）</w:t>
            </w:r>
          </w:p>
        </w:tc>
      </w:tr>
      <w:tr w14:paraId="7E32A6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65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1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69CB7A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B5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7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5598F2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E9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7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5AEF6D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99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3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47E3F1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8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A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0634F2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65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7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3F7F95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039C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八、文化和旅游（2项）</w:t>
            </w:r>
          </w:p>
        </w:tc>
      </w:tr>
      <w:tr w14:paraId="23A9E2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86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8</w:t>
            </w:r>
            <w:r>
              <w:rPr>
                <w:rFonts w:hint="eastAsia" w:ascii="Times New Roman" w:hAnsi="Times New Roman" w:eastAsia="方正公文仿宋"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1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69531F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F6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8</w:t>
            </w:r>
            <w:r>
              <w:rPr>
                <w:rFonts w:hint="eastAsia" w:ascii="Times New Roman" w:hAnsi="Times New Roman" w:eastAsia="方正公文仿宋"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B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负责乡村旅游发展的规划编制、项目建设、宣传推介，挖掘开发乌羊坝油菜花田、岩居人家、黄家大院等生态旅游资源和革命烈士墓红色旅游资源。</w:t>
            </w:r>
          </w:p>
        </w:tc>
      </w:tr>
      <w:tr w14:paraId="3C7B6F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987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九、综合政务（9项）</w:t>
            </w:r>
          </w:p>
        </w:tc>
      </w:tr>
      <w:tr w14:paraId="42E79D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39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0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4E6A1C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9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8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49ADCA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0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2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09E53C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7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B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11E088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E3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98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64B814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0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1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5C2498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2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9</w:t>
            </w:r>
            <w:r>
              <w:rPr>
                <w:rFonts w:hint="eastAsia" w:ascii="Times New Roman" w:hAnsi="Times New Roman" w:eastAsia="方正公文仿宋"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9E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37A821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0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9</w:t>
            </w:r>
            <w:r>
              <w:rPr>
                <w:rFonts w:hint="eastAsia" w:ascii="Times New Roman" w:hAnsi="Times New Roman" w:eastAsia="方正公文仿宋"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E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482CC8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5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9</w:t>
            </w:r>
            <w:r>
              <w:rPr>
                <w:rFonts w:hint="eastAsia" w:ascii="Times New Roman" w:hAnsi="Times New Roman" w:eastAsia="方正公文仿宋"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B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1C63DF81">
      <w:pPr>
        <w:pStyle w:val="2"/>
        <w:widowControl w:val="0"/>
        <w:kinsoku/>
        <w:autoSpaceDE/>
        <w:autoSpaceDN/>
        <w:adjustRightInd/>
        <w:snapToGrid/>
        <w:spacing w:before="0" w:after="0" w:line="240" w:lineRule="auto"/>
        <w:jc w:val="center"/>
        <w:textAlignment w:val="auto"/>
        <w:rPr>
          <w:rFonts w:hint="default" w:ascii="Times New Roman" w:hAnsi="Times New Roman" w:eastAsia="方正小标宋_GBK" w:cs="Times New Roman"/>
          <w:color w:val="auto"/>
          <w:lang w:eastAsia="zh-CN" w:bidi="ar"/>
        </w:rPr>
      </w:pPr>
      <w:r>
        <w:rPr>
          <w:rFonts w:hint="default"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hint="default" w:ascii="Times New Roman" w:hAnsi="Times New Roman" w:eastAsia="方正小标宋_GBK" w:cs="Times New Roman"/>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2860570">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50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bidi="ar"/>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7A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bidi="ar"/>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59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bidi="ar"/>
              </w:rPr>
            </w:pPr>
            <w:r>
              <w:rPr>
                <w:rFonts w:hint="default" w:ascii="Times New Roman" w:hAnsi="Times New Roman" w:eastAsia="方正黑体_GBK" w:cs="Times New Roman"/>
                <w:b w:val="0"/>
                <w:bCs w:val="0"/>
                <w:snapToGrid w:val="0"/>
                <w:color w:val="auto"/>
                <w:kern w:val="0"/>
                <w:sz w:val="21"/>
                <w:szCs w:val="21"/>
                <w:lang w:eastAsia="zh-CN"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10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bidi="ar"/>
              </w:rPr>
            </w:pPr>
            <w:r>
              <w:rPr>
                <w:rFonts w:hint="default" w:ascii="Times New Roman" w:hAnsi="Times New Roman" w:eastAsia="方正黑体_GBK" w:cs="Times New Roman"/>
                <w:b w:val="0"/>
                <w:bCs w:val="0"/>
                <w:snapToGrid w:val="0"/>
                <w:color w:val="auto"/>
                <w:kern w:val="0"/>
                <w:sz w:val="21"/>
                <w:szCs w:val="21"/>
                <w:lang w:eastAsia="zh-CN"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39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bidi="ar"/>
              </w:rPr>
            </w:pPr>
            <w:r>
              <w:rPr>
                <w:rFonts w:hint="default" w:ascii="Times New Roman" w:hAnsi="Times New Roman" w:eastAsia="方正黑体_GBK" w:cs="Times New Roman"/>
                <w:b w:val="0"/>
                <w:bCs w:val="0"/>
                <w:snapToGrid w:val="0"/>
                <w:color w:val="auto"/>
                <w:kern w:val="0"/>
                <w:sz w:val="21"/>
                <w:szCs w:val="21"/>
                <w:lang w:eastAsia="zh-CN" w:bidi="ar"/>
              </w:rPr>
              <w:t>镇配合职责</w:t>
            </w:r>
          </w:p>
        </w:tc>
      </w:tr>
      <w:tr w14:paraId="00DA1C5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0E8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一、经济发展（6项）</w:t>
            </w:r>
          </w:p>
        </w:tc>
      </w:tr>
      <w:tr w14:paraId="601531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10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28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A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510754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73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5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0B152D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8E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5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2A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19C49E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CA7E1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县住房城乡建委县应急管理局</w:t>
            </w:r>
          </w:p>
          <w:p w14:paraId="16FACE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3B36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A937E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C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D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34AD858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A9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1D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1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3F3935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B9B1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71E20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3D0C2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459EF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13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3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5A7EDB2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D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5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F8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3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59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654D89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DE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FC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5E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82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0C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4561DA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AD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67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5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AC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A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3D2AB6A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D50D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4ADF70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E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B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A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1A9A1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3DCFE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5C0CF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
</w:t>
            </w:r>
          </w:p>
          <w:p w14:paraId="65B2C6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4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45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663606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78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63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B2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A1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C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7F08F7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E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C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4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20133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F2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E7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5F4F75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37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C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E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4C09F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
</w:t>
            </w:r>
          </w:p>
          <w:p w14:paraId="4DC72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
</w:t>
            </w:r>
          </w:p>
          <w:p w14:paraId="62365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
</w:t>
            </w:r>
          </w:p>
          <w:p w14:paraId="63FCF2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3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59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6D13731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28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B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4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
</w:t>
            </w:r>
          </w:p>
          <w:p w14:paraId="5D0EA9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1DA4FB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67A35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408F6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AC07B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DFAA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DAFD7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A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A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4A387D2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AE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A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7F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7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B7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3615B58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09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2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A2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AA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59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4E412FC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5C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3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D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县民政局</w:t>
            </w:r>
          </w:p>
          <w:p w14:paraId="64412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县公安局</w:t>
            </w:r>
          </w:p>
          <w:p w14:paraId="2215B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县财政局</w:t>
            </w:r>
          </w:p>
          <w:p w14:paraId="4DB79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县住房城乡建委</w:t>
            </w:r>
          </w:p>
          <w:p w14:paraId="1EBB7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县卫生健康委</w:t>
            </w:r>
          </w:p>
          <w:p w14:paraId="78974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县应急管理局</w:t>
            </w:r>
          </w:p>
          <w:p w14:paraId="64381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县市场监管局</w:t>
            </w:r>
          </w:p>
          <w:p w14:paraId="77FB2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县金融服务中心</w:t>
            </w:r>
          </w:p>
          <w:p w14:paraId="17FAD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0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C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6B33D7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C4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E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94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55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CB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11FDB6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1B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64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D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C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D0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3D28A4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A2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5A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DC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C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D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13DF28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06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8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1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6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43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3FF163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EB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1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2A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9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95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189D0F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74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4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B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3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6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366A2FF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6A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B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45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2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B6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050F196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F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4F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C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2E726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57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02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1D1162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5D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99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A8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1DCBD9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7C80A2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79A60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43D5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B6CF2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20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B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5EEEE9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4F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D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E8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B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8A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6CD7BE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B3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2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A9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242F20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
</w:t>
            </w:r>
          </w:p>
          <w:p w14:paraId="7E53C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D2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61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78F2831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8A78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三、平安法治（21项）</w:t>
            </w:r>
          </w:p>
        </w:tc>
      </w:tr>
      <w:tr w14:paraId="19FB09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B6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2</w:t>
            </w:r>
            <w:r>
              <w:rPr>
                <w:rFonts w:hint="eastAsia" w:ascii="Times New Roman" w:hAnsi="Times New Roman" w:eastAsia="方正公文仿宋"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53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7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
</w:t>
            </w:r>
          </w:p>
          <w:p w14:paraId="34F88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
</w:t>
            </w:r>
          </w:p>
          <w:p w14:paraId="3B5B08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185F4B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54EB8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D3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62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46A4B18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5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6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73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
</w:t>
            </w:r>
          </w:p>
          <w:p w14:paraId="4A319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75F80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
</w:t>
            </w:r>
          </w:p>
          <w:p w14:paraId="0DFE4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
</w:t>
            </w:r>
          </w:p>
          <w:p w14:paraId="138D5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6BA54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059ACD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3DC9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8F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AE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08894F8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7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83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55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
</w:t>
            </w:r>
          </w:p>
          <w:p w14:paraId="740CE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72ADB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CBBF0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D95C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6E746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8C728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87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0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71CEDDD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50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EB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2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
</w:t>
            </w:r>
          </w:p>
          <w:p w14:paraId="4CEF87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05174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79078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CC967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60855E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7308A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E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03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1F6BC0F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C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CF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0026F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1DA76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4D7FCE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09429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F0D2E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2C59B4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C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6C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1B97A9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F2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C1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2C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70F9E5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25049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AEE3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F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2F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51870DD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8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D2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9B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C109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BC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5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39EB60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C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5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38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EA83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6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0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717C32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FE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7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EB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B656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76BE19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6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8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640EFF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31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7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8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
</w:t>
            </w:r>
          </w:p>
          <w:p w14:paraId="4A2C7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55AA6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78FCE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
</w:t>
            </w:r>
          </w:p>
          <w:p w14:paraId="19CD5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D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9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0A091A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0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3</w:t>
            </w:r>
            <w:r>
              <w:rPr>
                <w:rFonts w:hint="eastAsia" w:ascii="Times New Roman" w:hAnsi="Times New Roman" w:eastAsia="方正公文仿宋"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DC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4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3124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
</w:t>
            </w:r>
          </w:p>
          <w:p w14:paraId="24283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4DC9FC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F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E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3CC8A2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A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3</w:t>
            </w:r>
            <w:r>
              <w:rPr>
                <w:rFonts w:hint="eastAsia" w:ascii="Times New Roman" w:hAnsi="Times New Roman" w:eastAsia="方正公文仿宋"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9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ED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051C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3C3CCB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0D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59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59B7CEB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A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7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E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B945F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21D7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E808E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1F7BB6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94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9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44D4526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C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D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8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0B5A24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E92EC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县住房城乡建委县卫生健康委</w:t>
            </w:r>
          </w:p>
          <w:p w14:paraId="36BEF4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26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1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519DA0B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E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40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04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328FFB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
</w:t>
            </w:r>
          </w:p>
          <w:p w14:paraId="19ECF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ACEF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1D75D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89CFD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
</w:t>
            </w:r>
          </w:p>
          <w:p w14:paraId="478623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6468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194B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县住房城乡建委县信访办
</w:t>
            </w:r>
          </w:p>
          <w:p w14:paraId="547C03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CBA48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A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7C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2DC808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A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E7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51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54BFCA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0159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C3EF7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DB66C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w:t>
            </w:r>
          </w:p>
          <w:p w14:paraId="1C38E6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3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C0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7DB2D3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CE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2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A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51F547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
</w:t>
            </w:r>
          </w:p>
          <w:p w14:paraId="1D0187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50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7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7D3DCC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5F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0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AF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5F6BE0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w:t>
            </w:r>
          </w:p>
          <w:p w14:paraId="3A0A0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1C647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6D63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4E6F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F817A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2F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C5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47952C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E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FC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0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7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8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427742F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2C8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59A8DB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1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D0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DD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97C23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1B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F5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439F028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81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2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46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64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6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4C672D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5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1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72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7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44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55AB4F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AB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C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1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
</w:t>
            </w:r>
          </w:p>
          <w:p w14:paraId="6CDAF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9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三在村</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0A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1C4C2B5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209E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177C84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4F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3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4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4773B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19F81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w:t>
            </w:r>
          </w:p>
          <w:p w14:paraId="395403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9CC67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2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w:t>
            </w:r>
            <w:r>
              <w:rPr>
                <w:rFonts w:hint="eastAsia" w:ascii="Times New Roman" w:hAnsi="Times New Roman" w:eastAsia="方正仿宋_GBK" w:cs="Times New Roman"/>
                <w:b w:val="0"/>
                <w:bCs w:val="0"/>
                <w:snapToGrid w:val="0"/>
                <w:color w:val="auto"/>
                <w:kern w:val="0"/>
                <w:sz w:val="21"/>
                <w:szCs w:val="21"/>
                <w:lang w:eastAsia="zh-CN" w:bidi="ar"/>
              </w:rPr>
              <w:t>发展改革委</w:t>
            </w:r>
            <w:bookmarkStart w:id="12" w:name="_GoBack"/>
            <w:bookmarkEnd w:id="12"/>
            <w:r>
              <w:rPr>
                <w:rFonts w:hint="default" w:ascii="Times New Roman" w:hAnsi="Times New Roman" w:eastAsia="方正仿宋_GBK" w:cs="Times New Roman"/>
                <w:b w:val="0"/>
                <w:bCs w:val="0"/>
                <w:snapToGrid w:val="0"/>
                <w:color w:val="auto"/>
                <w:kern w:val="0"/>
                <w:sz w:val="21"/>
                <w:szCs w:val="21"/>
                <w:lang w:eastAsia="en-US" w:bidi="ar"/>
              </w:rPr>
              <w:t>、县公安局、县住房城乡建委等部门按照各自职责做好大气污染防治工作。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FB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2DBA8A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2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BB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00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1D3C1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县住房城乡建委县卫生健康委</w:t>
            </w:r>
          </w:p>
          <w:p w14:paraId="2CE85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55B90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06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2F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6C073B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9A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35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AB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4E4A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69CD30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w:t>
            </w:r>
          </w:p>
          <w:p w14:paraId="3FDED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3C365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8C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C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2B86E6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C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62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D8C8D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004B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73524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F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6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6DAC289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1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8F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0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FB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8F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3E1539A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AC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E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3F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06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D5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5A3ED5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D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3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48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A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3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79DC93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C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8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6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8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EE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02AF1C6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AA78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0EB8AB4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8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72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17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39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C6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397E51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8F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44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7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EF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F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3E2931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F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1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49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03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CA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163F01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4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3B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57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4FF5C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7D42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2DA7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B05C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7C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34E92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A4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6E11DF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DF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E9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E1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FD077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A5706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69CBE6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EF88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C9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F7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615D46F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C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3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EA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63D05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544AC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县住房城乡建委县应急管理局</w:t>
            </w:r>
          </w:p>
          <w:p w14:paraId="099F3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39646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DF129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D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9D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704E4C4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5C6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1A901A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6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8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7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7B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C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45E14EE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64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6C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B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E5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C6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4E81A327">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1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15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44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52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D3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7A8D6D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A7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5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43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4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8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423B28B7">
      <w:pPr>
        <w:pStyle w:val="2"/>
        <w:widowControl w:val="0"/>
        <w:kinsoku/>
        <w:autoSpaceDE/>
        <w:autoSpaceDN/>
        <w:adjustRightInd/>
        <w:snapToGrid/>
        <w:spacing w:before="0" w:after="0" w:line="240" w:lineRule="auto"/>
        <w:jc w:val="center"/>
        <w:textAlignment w:val="auto"/>
        <w:rPr>
          <w:rFonts w:hint="default" w:ascii="Times New Roman" w:hAnsi="Times New Roman" w:eastAsia="方正小标宋_GBK" w:cs="Times New Roman"/>
          <w:b w:val="0"/>
          <w:snapToGrid/>
          <w:lang w:eastAsia="zh-CN"/>
        </w:rPr>
      </w:pPr>
      <w:r>
        <w:rPr>
          <w:rFonts w:hint="default"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default" w:ascii="Times New Roman" w:hAnsi="Times New Roman" w:eastAsia="方正小标宋_GBK" w:cs="Times New Roman"/>
          <w:b w:val="0"/>
          <w:snapToGrid/>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64956B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44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C7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3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4389D85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3B8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一、经济发展（13项）</w:t>
            </w:r>
          </w:p>
        </w:tc>
      </w:tr>
      <w:tr w14:paraId="11116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A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6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F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7FD8E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8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48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CC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6CCB7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C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28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76F4E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9F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1C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24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1C080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7D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D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6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2C71E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C5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C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5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75766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CB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F5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06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3D764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BD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1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D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35D7AF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758F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616AE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E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6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2650A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67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3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33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7E5BD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39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E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5E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288C1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C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9A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4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289E2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9B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7E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5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66F34B5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91D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68CE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DE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9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D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6464C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8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2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1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09777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A2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0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5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294BB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6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A2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4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2688D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8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D3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9D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6D459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9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25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D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5C41B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F0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0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4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3988A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2F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C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F2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51E5F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B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5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C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5CF41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7E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55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6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507EC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7A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ED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81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7E094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0E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FD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72DAC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81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4C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C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58ABD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D2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0C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A0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6620430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95A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1CC57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5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41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652BD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AA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D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5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2F069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6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1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D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工作方式：负责烟花爆竹经营企业（批发、零售）监督检查工作。</w:t>
            </w:r>
          </w:p>
        </w:tc>
      </w:tr>
      <w:tr w14:paraId="51783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6A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22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9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1BA61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A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F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AB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64995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4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2B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D1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2FB58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4A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E0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4E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0ABCC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A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5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F4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5C6DB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5F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90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4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54E54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D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1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31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18626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6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A7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7F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155DB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7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B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B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7C4D1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99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1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7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4161A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86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6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C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76E25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7B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0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A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782CF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2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D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1A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1D037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0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C4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7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工作方式：负责对烟花爆竹零售店进行初审、终审及许可证办理。</w:t>
            </w:r>
          </w:p>
        </w:tc>
      </w:tr>
      <w:tr w14:paraId="4399D2D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697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035BD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BB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1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5E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71E1678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D34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24E83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E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C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B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3B1A1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7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A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63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69D88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EF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11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2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6F8DD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2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6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76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工作方式：负责小型水库安全监督和防汛监督管理。</w:t>
            </w:r>
          </w:p>
        </w:tc>
      </w:tr>
      <w:tr w14:paraId="33791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58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E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1A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3DE95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7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D3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93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08350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CD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C5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AE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32FDD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0E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FB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46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744D05D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B09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70FCD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2C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A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E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637D6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8A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FE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FB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15701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5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F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B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6595C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19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A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1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7E03B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9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15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E3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工作方式：开展自建房安全等级鉴定。</w:t>
            </w:r>
          </w:p>
        </w:tc>
      </w:tr>
    </w:tbl>
    <w:p w14:paraId="11C2B591">
      <w:pPr>
        <w:rPr>
          <w:rFonts w:hint="default" w:ascii="Times New Roman" w:hAnsi="Times New Roman" w:eastAsia="方正小标宋_GBK" w:cs="Times New Roman"/>
          <w:b w:val="0"/>
          <w:snapToGrid/>
          <w:lang w:eastAsia="zh-CN"/>
        </w:rPr>
      </w:pPr>
    </w:p>
    <w:p w14:paraId="09772A9F">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5D7C">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3BF0AEA">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3BF0AEA">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A26B">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367A76"/>
    <w:rsid w:val="054D2E98"/>
    <w:rsid w:val="0672581C"/>
    <w:rsid w:val="07106873"/>
    <w:rsid w:val="0721638A"/>
    <w:rsid w:val="08E3701E"/>
    <w:rsid w:val="09CD0A4B"/>
    <w:rsid w:val="0CBD799E"/>
    <w:rsid w:val="0CED6E4B"/>
    <w:rsid w:val="0D141FB2"/>
    <w:rsid w:val="0D6A30DC"/>
    <w:rsid w:val="0E7D2A40"/>
    <w:rsid w:val="0EB775D4"/>
    <w:rsid w:val="0FFA00C0"/>
    <w:rsid w:val="10803007"/>
    <w:rsid w:val="10CF6BAB"/>
    <w:rsid w:val="11CF6595"/>
    <w:rsid w:val="12887C05"/>
    <w:rsid w:val="12957C2C"/>
    <w:rsid w:val="13224887"/>
    <w:rsid w:val="133B4C77"/>
    <w:rsid w:val="13877EBC"/>
    <w:rsid w:val="183B138A"/>
    <w:rsid w:val="186B3909"/>
    <w:rsid w:val="19D75AFE"/>
    <w:rsid w:val="1A1B310D"/>
    <w:rsid w:val="1A43469E"/>
    <w:rsid w:val="1AE250EB"/>
    <w:rsid w:val="1B6328B3"/>
    <w:rsid w:val="1C7B60E4"/>
    <w:rsid w:val="1D8B2357"/>
    <w:rsid w:val="1EE241F9"/>
    <w:rsid w:val="1F5D7D23"/>
    <w:rsid w:val="1FFB37C4"/>
    <w:rsid w:val="22B830A0"/>
    <w:rsid w:val="23C83B47"/>
    <w:rsid w:val="26571970"/>
    <w:rsid w:val="26DC401F"/>
    <w:rsid w:val="273C4205"/>
    <w:rsid w:val="2870257C"/>
    <w:rsid w:val="28A23621"/>
    <w:rsid w:val="2EB178C6"/>
    <w:rsid w:val="309247E6"/>
    <w:rsid w:val="309F019C"/>
    <w:rsid w:val="314A28D0"/>
    <w:rsid w:val="319E4139"/>
    <w:rsid w:val="3353526D"/>
    <w:rsid w:val="35EF31B5"/>
    <w:rsid w:val="37223F82"/>
    <w:rsid w:val="3C4879E5"/>
    <w:rsid w:val="3C526EA3"/>
    <w:rsid w:val="3D4711F2"/>
    <w:rsid w:val="3E097108"/>
    <w:rsid w:val="3E330175"/>
    <w:rsid w:val="42025BE2"/>
    <w:rsid w:val="42E47C90"/>
    <w:rsid w:val="468779DC"/>
    <w:rsid w:val="499A4B96"/>
    <w:rsid w:val="4A2319E6"/>
    <w:rsid w:val="4C4B308E"/>
    <w:rsid w:val="4EFE23A3"/>
    <w:rsid w:val="501E2A33"/>
    <w:rsid w:val="50827C0B"/>
    <w:rsid w:val="522C0625"/>
    <w:rsid w:val="537961D3"/>
    <w:rsid w:val="55CE19E9"/>
    <w:rsid w:val="5AE76118"/>
    <w:rsid w:val="5C2C19FC"/>
    <w:rsid w:val="5DF01F24"/>
    <w:rsid w:val="5EEA4A34"/>
    <w:rsid w:val="60874BCB"/>
    <w:rsid w:val="614079B7"/>
    <w:rsid w:val="62685D90"/>
    <w:rsid w:val="649C4E94"/>
    <w:rsid w:val="65610A4C"/>
    <w:rsid w:val="69206E84"/>
    <w:rsid w:val="697A5A38"/>
    <w:rsid w:val="69D02B99"/>
    <w:rsid w:val="6A6B0B13"/>
    <w:rsid w:val="6B901183"/>
    <w:rsid w:val="75D2572C"/>
    <w:rsid w:val="766C1E9B"/>
    <w:rsid w:val="77A37380"/>
    <w:rsid w:val="7A7B6392"/>
    <w:rsid w:val="7B0F7299"/>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5996</Words>
  <Characters>6147</Characters>
  <Lines>1</Lines>
  <Paragraphs>1</Paragraphs>
  <TotalTime>4</TotalTime>
  <ScaleCrop>false</ScaleCrop>
  <LinksUpToDate>false</LinksUpToDate>
  <CharactersWithSpaces>6158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_小马</cp:lastModifiedBy>
  <cp:lastPrinted>2025-07-16T09:56:00Z</cp:lastPrinted>
  <dcterms:modified xsi:type="dcterms:W3CDTF">2025-08-26T03:09:07Z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eyJoZGlkIjoiZTRmODFlMjYzZDU0MmY5NGU0NDQwN2RiNzIwZjYyMDMiLCJ1c2VySWQiOiI4Mjk5NjQ0NTAifQ==</vt:lpwstr>
  </property>
  <property fmtid="{D5CDD505-2E9C-101B-9397-08002B2CF9AE}" pid="3" name="KSOProductBuildVer">
    <vt:lpwstr>2052-12.1.0.22529</vt:lpwstr>
  </property>
  <property fmtid="{D5CDD505-2E9C-101B-9397-08002B2CF9AE}" pid="4" name="ICV">
    <vt:lpwstr>5C119C63DB9443C498E3740C026E7ADF_12</vt:lpwstr>
  </property>
</Properties>
</file>