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D5028">
      <w:pPr>
        <w:pStyle w:val="12"/>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textAlignment w:val="auto"/>
        <w:rPr>
          <w:rFonts w:hint="default" w:ascii="Times New Roman" w:hAnsi="Times New Roman"/>
        </w:rPr>
      </w:pPr>
    </w:p>
    <w:p w14:paraId="71D0D0E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方正小标宋_GBK" w:cs="Times New Roman"/>
          <w:b w:val="0"/>
          <w:bCs w:val="0"/>
          <w:sz w:val="44"/>
          <w:szCs w:val="44"/>
        </w:rPr>
      </w:pPr>
      <w:r>
        <w:rPr>
          <w:rFonts w:hint="eastAsia" w:ascii="Times New Roman" w:hAnsi="Times New Roman" w:eastAsia="方正小标宋_GBK" w:cs="Times New Roman"/>
          <w:b w:val="0"/>
          <w:bCs w:val="0"/>
          <w:spacing w:val="73"/>
          <w:kern w:val="0"/>
          <w:sz w:val="44"/>
          <w:szCs w:val="44"/>
          <w:fitText w:val="7480" w:id="1231113680"/>
        </w:rPr>
        <w:t>丰都县住房和城乡建设委员</w:t>
      </w:r>
      <w:r>
        <w:rPr>
          <w:rFonts w:hint="eastAsia" w:ascii="Times New Roman" w:hAnsi="Times New Roman" w:eastAsia="方正小标宋_GBK" w:cs="Times New Roman"/>
          <w:b w:val="0"/>
          <w:bCs w:val="0"/>
          <w:spacing w:val="4"/>
          <w:kern w:val="0"/>
          <w:sz w:val="44"/>
          <w:szCs w:val="44"/>
          <w:fitText w:val="7480" w:id="1231113680"/>
        </w:rPr>
        <w:t>会</w:t>
      </w:r>
    </w:p>
    <w:p w14:paraId="6DFF487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pacing w:val="62"/>
          <w:kern w:val="0"/>
          <w:sz w:val="44"/>
          <w:szCs w:val="44"/>
          <w:fitText w:val="7920" w:id="1206400669"/>
          <w:lang w:val="en-US" w:eastAsia="zh-CN"/>
        </w:rPr>
        <w:t>2024年度法治政府建设情况报</w:t>
      </w:r>
      <w:r>
        <w:rPr>
          <w:rFonts w:hint="default" w:ascii="Times New Roman" w:hAnsi="Times New Roman" w:eastAsia="方正小标宋_GBK" w:cs="Times New Roman"/>
          <w:spacing w:val="3"/>
          <w:kern w:val="0"/>
          <w:sz w:val="44"/>
          <w:szCs w:val="44"/>
          <w:fitText w:val="7920" w:id="1206400669"/>
          <w:lang w:val="en-US" w:eastAsia="zh-CN"/>
        </w:rPr>
        <w:t>告</w:t>
      </w:r>
    </w:p>
    <w:p w14:paraId="218B0701">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方正小标宋_GBK" w:cs="Times New Roman"/>
          <w:b w:val="0"/>
          <w:bCs/>
          <w:sz w:val="44"/>
          <w:szCs w:val="44"/>
        </w:rPr>
      </w:pPr>
    </w:p>
    <w:p w14:paraId="643F247B">
      <w:pPr>
        <w:keepNext w:val="0"/>
        <w:keepLines w:val="0"/>
        <w:widowControl/>
        <w:suppressLineNumbers w:val="0"/>
        <w:jc w:val="left"/>
      </w:pPr>
      <w:r>
        <w:rPr>
          <w:rFonts w:hint="default" w:ascii="Times New Roman" w:hAnsi="Times New Roman" w:eastAsia="方正仿宋_GBK" w:cs="Times New Roman"/>
          <w:sz w:val="32"/>
          <w:szCs w:val="20"/>
          <w:lang w:val="en-US" w:eastAsia="zh-CN"/>
        </w:rPr>
        <w:t>2024年，丰都县住房城乡建委在县委县政府的坚强领导下，坚持以习近平新时代中国特色社会主义思想为指导，认真贯彻落实习近平总书记视察重庆重要讲话重要指示精神，坚持民生为大，坚持党建统领，狠抓群腐整治，致力专项行动，勇毅前行，锐意改革、守正创新，圆满完成了各项任务，取得了十大亮点业绩，促进了“小县大城”和现代化美丽丰都高质量发展</w:t>
      </w:r>
      <w:r>
        <w:rPr>
          <w:rFonts w:hint="eastAsia" w:ascii="宋体" w:hAnsi="宋体" w:eastAsia="宋体" w:cs="宋体"/>
          <w:i w:val="0"/>
          <w:caps w:val="0"/>
          <w:color w:val="000000"/>
          <w:spacing w:val="0"/>
          <w:kern w:val="0"/>
          <w:sz w:val="28"/>
          <w:szCs w:val="28"/>
          <w:lang w:val="en-US" w:eastAsia="zh-CN" w:bidi="ar"/>
        </w:rPr>
        <w:t>。</w:t>
      </w:r>
    </w:p>
    <w:p w14:paraId="28E54C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20"/>
          <w:lang w:val="en-US" w:eastAsia="zh-CN"/>
        </w:rPr>
      </w:pPr>
      <w:r>
        <w:rPr>
          <w:rFonts w:hint="default" w:ascii="Times New Roman" w:hAnsi="Times New Roman" w:eastAsia="方正黑体_GBK" w:cs="Times New Roman"/>
          <w:sz w:val="32"/>
          <w:szCs w:val="20"/>
          <w:lang w:val="en-US" w:eastAsia="zh-CN"/>
        </w:rPr>
        <w:t>一、主要举措和成效</w:t>
      </w:r>
    </w:p>
    <w:p w14:paraId="0F8BE9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20"/>
          <w:lang w:val="en-US" w:eastAsia="zh-CN"/>
        </w:rPr>
      </w:pPr>
      <w:r>
        <w:rPr>
          <w:rFonts w:hint="default" w:ascii="Times New Roman" w:hAnsi="Times New Roman" w:eastAsia="方正楷体_GBK" w:cs="Times New Roman"/>
          <w:sz w:val="32"/>
          <w:szCs w:val="20"/>
          <w:lang w:val="en-US" w:eastAsia="zh-CN"/>
        </w:rPr>
        <w:t>（一）经济支柱作用持续凸显</w:t>
      </w:r>
    </w:p>
    <w:p w14:paraId="2435FAF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一是争资立项再创新高。</w:t>
      </w:r>
      <w:r>
        <w:rPr>
          <w:rFonts w:hint="default" w:ascii="Times New Roman" w:hAnsi="Times New Roman" w:eastAsia="方正仿宋_GBK" w:cs="Times New Roman"/>
          <w:sz w:val="32"/>
          <w:szCs w:val="20"/>
          <w:lang w:val="en-US" w:eastAsia="zh-CN"/>
        </w:rPr>
        <w:t>新策划项目54个，新实施项目39个，续建项目21个，累计争取上级专项资金4.7亿余元，同比增长52%。完成城建项目建设投资30469.12万元。</w:t>
      </w:r>
      <w:r>
        <w:rPr>
          <w:rFonts w:hint="default" w:ascii="Times New Roman" w:hAnsi="Times New Roman" w:eastAsia="方正仿宋_GBK" w:cs="Times New Roman"/>
          <w:b/>
          <w:bCs/>
          <w:sz w:val="32"/>
          <w:szCs w:val="20"/>
          <w:lang w:val="en-US" w:eastAsia="zh-CN"/>
        </w:rPr>
        <w:t>二是两业稳步发展。</w:t>
      </w:r>
      <w:r>
        <w:rPr>
          <w:rFonts w:hint="default" w:ascii="Times New Roman" w:hAnsi="Times New Roman" w:eastAsia="方正仿宋_GBK" w:cs="Times New Roman"/>
          <w:sz w:val="32"/>
          <w:szCs w:val="20"/>
          <w:lang w:val="en-US" w:eastAsia="zh-CN"/>
        </w:rPr>
        <w:t>全年建筑业总产值完成281.3亿元，为县域经济增长提供重要支撑。完成房地产投资50亿元，商品房销售37万平方米。实现非税收入1816.75万元。</w:t>
      </w:r>
      <w:r>
        <w:rPr>
          <w:rFonts w:hint="default" w:ascii="Times New Roman" w:hAnsi="Times New Roman" w:eastAsia="方正仿宋_GBK" w:cs="Times New Roman"/>
          <w:b/>
          <w:bCs/>
          <w:sz w:val="32"/>
          <w:szCs w:val="20"/>
          <w:lang w:val="en-US" w:eastAsia="zh-CN"/>
        </w:rPr>
        <w:t>三是国有资产盘活超额完成。</w:t>
      </w:r>
      <w:r>
        <w:rPr>
          <w:rFonts w:hint="default" w:ascii="Times New Roman" w:hAnsi="Times New Roman" w:eastAsia="方正仿宋_GBK" w:cs="Times New Roman"/>
          <w:sz w:val="32"/>
          <w:szCs w:val="20"/>
          <w:lang w:val="en-US" w:eastAsia="zh-CN"/>
        </w:rPr>
        <w:t>深化住建领域“三攻坚一盘活”改革，完成公租房住宅资产盘活5.4亿元，超额完成市级下达任务，完成率142%；完成商业资产盘活13752万元，超额完成市级下达任务，完成率229%。</w:t>
      </w:r>
    </w:p>
    <w:p w14:paraId="20885C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20"/>
          <w:lang w:val="en-US" w:eastAsia="zh-CN"/>
        </w:rPr>
      </w:pPr>
      <w:r>
        <w:rPr>
          <w:rFonts w:hint="default" w:ascii="Times New Roman" w:hAnsi="Times New Roman" w:eastAsia="方正楷体_GBK" w:cs="Times New Roman"/>
          <w:sz w:val="32"/>
          <w:szCs w:val="20"/>
          <w:lang w:val="en-US" w:eastAsia="zh-CN"/>
        </w:rPr>
        <w:t>（二）885指标保位争先</w:t>
      </w:r>
    </w:p>
    <w:p w14:paraId="6BCEEA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一是高分报表排位靠前。</w:t>
      </w:r>
      <w:r>
        <w:rPr>
          <w:rFonts w:hint="default" w:ascii="Times New Roman" w:hAnsi="Times New Roman" w:eastAsia="方正仿宋_GBK" w:cs="Times New Roman"/>
          <w:sz w:val="32"/>
          <w:szCs w:val="20"/>
          <w:lang w:val="en-US" w:eastAsia="zh-CN"/>
        </w:rPr>
        <w:t>聚焦八张报表5项牵头指标，奋力斩获1A、4B的良好战绩。</w:t>
      </w:r>
      <w:r>
        <w:rPr>
          <w:rFonts w:hint="default" w:ascii="Times New Roman" w:hAnsi="Times New Roman" w:eastAsia="方正仿宋_GBK" w:cs="Times New Roman"/>
          <w:b/>
          <w:bCs/>
          <w:sz w:val="32"/>
          <w:szCs w:val="20"/>
          <w:lang w:val="en-US" w:eastAsia="zh-CN"/>
        </w:rPr>
        <w:t>二是问题整改序时推进。</w:t>
      </w:r>
      <w:r>
        <w:rPr>
          <w:rFonts w:hint="default" w:ascii="Times New Roman" w:hAnsi="Times New Roman" w:eastAsia="方正仿宋_GBK" w:cs="Times New Roman"/>
          <w:sz w:val="32"/>
          <w:szCs w:val="20"/>
          <w:lang w:val="en-US" w:eastAsia="zh-CN"/>
        </w:rPr>
        <w:t>瞄准市县级清单问题101个，序时完成整改89个（未销号的12个问题需按照市级部门要求的时间节点，于明年完成销号）、整改率88.1%。发现并整改县级全量库问题868个，整改率100%。</w:t>
      </w:r>
      <w:r>
        <w:rPr>
          <w:rFonts w:hint="default" w:ascii="Times New Roman" w:hAnsi="Times New Roman" w:eastAsia="方正仿宋_GBK" w:cs="Times New Roman"/>
          <w:b/>
          <w:bCs/>
          <w:sz w:val="32"/>
          <w:szCs w:val="20"/>
          <w:lang w:val="en-US" w:eastAsia="zh-CN"/>
        </w:rPr>
        <w:t>三是提升城市智管水平。</w:t>
      </w:r>
      <w:r>
        <w:rPr>
          <w:rFonts w:hint="default" w:ascii="Times New Roman" w:hAnsi="Times New Roman" w:eastAsia="方正仿宋_GBK" w:cs="Times New Roman"/>
          <w:sz w:val="32"/>
          <w:szCs w:val="20"/>
          <w:lang w:val="en-US" w:eastAsia="zh-CN"/>
        </w:rPr>
        <w:t>全量承接市级设施运行板块，谋划构建装饰装修新场景，“城市房屋装修服务一件事”通过专题组评审。全面完成智慧停车项目，智能化改造车位5793个，130个经营性停车场数据100%接入“渝畅停”应用平台。推进城市运行管理服务“一网统管”，全年数字城管平台立案城市管理问题14533件，处置13062件，处置率89.88%。全面推进城区易涝点、化粪池、井盖、废弃油脂、建筑垃圾治理等数字化智管，安装接入27类城市管理部件物联感知设备19万余个，完成应用贯通18个、流转并闭环处置事件168件，绘制45个高频事件流程图，配置上线42个智能预案，城市管理能力进一步提升。</w:t>
      </w:r>
    </w:p>
    <w:p w14:paraId="3CC446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20"/>
          <w:lang w:val="en-US" w:eastAsia="zh-CN"/>
        </w:rPr>
      </w:pPr>
      <w:r>
        <w:rPr>
          <w:rFonts w:hint="default" w:ascii="Times New Roman" w:hAnsi="Times New Roman" w:eastAsia="方正楷体_GBK" w:cs="Times New Roman"/>
          <w:sz w:val="32"/>
          <w:szCs w:val="20"/>
          <w:lang w:val="en-US" w:eastAsia="zh-CN"/>
        </w:rPr>
        <w:t>（三）城市更新建设提质增效</w:t>
      </w:r>
    </w:p>
    <w:p w14:paraId="380D258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一是找准形象定位。</w:t>
      </w:r>
      <w:r>
        <w:rPr>
          <w:rFonts w:hint="default" w:ascii="Times New Roman" w:hAnsi="Times New Roman" w:eastAsia="方正仿宋_GBK" w:cs="Times New Roman"/>
          <w:sz w:val="32"/>
          <w:szCs w:val="20"/>
          <w:lang w:val="en-US" w:eastAsia="zh-CN"/>
        </w:rPr>
        <w:t>邀请青年雕塑家策划设计“巴渝神鸟”城市雕塑，将打造成为中国重庆市丰都县与墨西哥瓜纳华托市文化交流的新地标，架起两地国际交流桥梁。</w:t>
      </w:r>
      <w:r>
        <w:rPr>
          <w:rFonts w:hint="default" w:ascii="Times New Roman" w:hAnsi="Times New Roman" w:eastAsia="方正仿宋_GBK" w:cs="Times New Roman"/>
          <w:b/>
          <w:bCs/>
          <w:sz w:val="32"/>
          <w:szCs w:val="20"/>
          <w:lang w:val="en-US" w:eastAsia="zh-CN"/>
        </w:rPr>
        <w:t>二是开展功能补位。</w:t>
      </w:r>
      <w:r>
        <w:rPr>
          <w:rFonts w:hint="default" w:ascii="Times New Roman" w:hAnsi="Times New Roman" w:eastAsia="方正仿宋_GBK" w:cs="Times New Roman"/>
          <w:sz w:val="32"/>
          <w:szCs w:val="20"/>
          <w:lang w:val="en-US" w:eastAsia="zh-CN"/>
        </w:rPr>
        <w:t>高品质推进“小县大城”试点工作，顺利建成丰都图书馆、滨江公园等城市“大件”，建设现代社区1个，新增划线停车位2010个，打造错时共享停车泊位1192个，建成市政公厕20个、劳动者港湾3个，提供蹲位200余个，提升群众幸福感。</w:t>
      </w:r>
      <w:r>
        <w:rPr>
          <w:rFonts w:hint="default" w:ascii="Times New Roman" w:hAnsi="Times New Roman" w:eastAsia="方正仿宋_GBK" w:cs="Times New Roman"/>
          <w:b/>
          <w:bCs/>
          <w:sz w:val="32"/>
          <w:szCs w:val="20"/>
          <w:lang w:val="en-US" w:eastAsia="zh-CN"/>
        </w:rPr>
        <w:t>三是推进环境升位，引进左岸公司进行专业化清扫保洁，实现城市道路机扫率保持85%以上。</w:t>
      </w:r>
      <w:r>
        <w:rPr>
          <w:rFonts w:hint="default" w:ascii="Times New Roman" w:hAnsi="Times New Roman" w:eastAsia="方正仿宋_GBK" w:cs="Times New Roman"/>
          <w:sz w:val="32"/>
          <w:szCs w:val="20"/>
          <w:lang w:val="en-US" w:eastAsia="zh-CN"/>
        </w:rPr>
        <w:t>在重要节日、城市重要节点布置时令鲜花22.98万盆，补植补栽绿植3.66万株、地被植物8600余平方米，实现开窗见绿、推门见景。</w:t>
      </w:r>
      <w:r>
        <w:rPr>
          <w:rFonts w:hint="default" w:ascii="Times New Roman" w:hAnsi="Times New Roman" w:eastAsia="方正仿宋_GBK" w:cs="Times New Roman"/>
          <w:b/>
          <w:bCs/>
          <w:sz w:val="32"/>
          <w:szCs w:val="20"/>
          <w:lang w:val="en-US" w:eastAsia="zh-CN"/>
        </w:rPr>
        <w:t>四是实现品质进位。</w:t>
      </w:r>
      <w:r>
        <w:rPr>
          <w:rFonts w:hint="default" w:ascii="Times New Roman" w:hAnsi="Times New Roman" w:eastAsia="方正仿宋_GBK" w:cs="Times New Roman"/>
          <w:sz w:val="32"/>
          <w:szCs w:val="20"/>
          <w:lang w:val="en-US" w:eastAsia="zh-CN"/>
        </w:rPr>
        <w:t>横五路，龙凤桥，丰都县龙河新城互联互通道路三号、四号路等重大项目加快推进。王家渡滨江魅力长廊整体、老城烟火生活芯、全民康体综合提升、庙会非遗文化创意产业园等4个城市更新项目序时推进。</w:t>
      </w:r>
    </w:p>
    <w:p w14:paraId="3FD852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20"/>
          <w:lang w:val="en-US" w:eastAsia="zh-CN"/>
        </w:rPr>
      </w:pPr>
      <w:r>
        <w:rPr>
          <w:rFonts w:hint="default" w:ascii="Times New Roman" w:hAnsi="Times New Roman" w:eastAsia="方正楷体_GBK" w:cs="Times New Roman"/>
          <w:sz w:val="32"/>
          <w:szCs w:val="20"/>
          <w:lang w:val="en-US" w:eastAsia="zh-CN"/>
        </w:rPr>
        <w:t>（四）和美乡村建设稳步推进</w:t>
      </w:r>
    </w:p>
    <w:p w14:paraId="011A7A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一是推动乡镇品质提升。</w:t>
      </w:r>
      <w:r>
        <w:rPr>
          <w:rFonts w:hint="default" w:ascii="Times New Roman" w:hAnsi="Times New Roman" w:eastAsia="方正仿宋_GBK" w:cs="Times New Roman"/>
          <w:sz w:val="32"/>
          <w:szCs w:val="20"/>
          <w:lang w:val="en-US" w:eastAsia="zh-CN"/>
        </w:rPr>
        <w:t>全面完成2023年栗子乡美丽宜居示范乡镇建设项目，经市住房城乡建委验收获评优秀，2024年、2025年建设项目有序推进中。创建评比美丽庭院655个、安装路灯（庭院灯）655盏，全面提升村容村貌。二</w:t>
      </w:r>
      <w:r>
        <w:rPr>
          <w:rFonts w:hint="default" w:ascii="Times New Roman" w:hAnsi="Times New Roman" w:eastAsia="方正仿宋_GBK" w:cs="Times New Roman"/>
          <w:b/>
          <w:bCs/>
          <w:sz w:val="32"/>
          <w:szCs w:val="20"/>
          <w:lang w:val="en-US" w:eastAsia="zh-CN"/>
        </w:rPr>
        <w:t>是推进巴蜀美丽庭院建设。</w:t>
      </w:r>
      <w:r>
        <w:rPr>
          <w:rFonts w:hint="default" w:ascii="Times New Roman" w:hAnsi="Times New Roman" w:eastAsia="方正仿宋_GBK" w:cs="Times New Roman"/>
          <w:sz w:val="32"/>
          <w:szCs w:val="20"/>
          <w:lang w:val="en-US" w:eastAsia="zh-CN"/>
        </w:rPr>
        <w:t>积极推进包鸾镇“飞鸾稻香”巴蜀美丽庭院示范片建设，申报高家镇梁田家园巴蜀美丽庭院示范片项目1个，建设巴蜀美丽庭院60户，撬动村民投资124万元。</w:t>
      </w:r>
      <w:r>
        <w:rPr>
          <w:rFonts w:hint="default" w:ascii="Times New Roman" w:hAnsi="Times New Roman" w:eastAsia="方正仿宋_GBK" w:cs="Times New Roman"/>
          <w:b/>
          <w:bCs/>
          <w:sz w:val="32"/>
          <w:szCs w:val="20"/>
          <w:lang w:val="en-US" w:eastAsia="zh-CN"/>
        </w:rPr>
        <w:t>三是加强传统村落保护发展。</w:t>
      </w:r>
      <w:r>
        <w:rPr>
          <w:rFonts w:hint="default" w:ascii="Times New Roman" w:hAnsi="Times New Roman" w:eastAsia="方正仿宋_GBK" w:cs="Times New Roman"/>
          <w:sz w:val="32"/>
          <w:szCs w:val="20"/>
          <w:lang w:val="en-US" w:eastAsia="zh-CN"/>
        </w:rPr>
        <w:t>推进仙女湖镇金竹林村朱家园传统村落保护发展项目建设，整治传统民居21栋、46户，完成7个中国传统村落数字博物馆建设。</w:t>
      </w:r>
    </w:p>
    <w:p w14:paraId="568437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20"/>
          <w:lang w:val="en-US" w:eastAsia="zh-CN"/>
        </w:rPr>
      </w:pPr>
      <w:r>
        <w:rPr>
          <w:rFonts w:hint="default" w:ascii="Times New Roman" w:hAnsi="Times New Roman" w:eastAsia="方正楷体_GBK" w:cs="Times New Roman"/>
          <w:sz w:val="32"/>
          <w:szCs w:val="20"/>
          <w:lang w:val="en-US" w:eastAsia="zh-CN"/>
        </w:rPr>
        <w:t>（五）住房保障体系健全完善</w:t>
      </w:r>
    </w:p>
    <w:p w14:paraId="4E5C8B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一是配售型保障性住房开工建设。</w:t>
      </w:r>
      <w:r>
        <w:rPr>
          <w:rFonts w:hint="default" w:ascii="Times New Roman" w:hAnsi="Times New Roman" w:eastAsia="方正仿宋_GBK" w:cs="Times New Roman"/>
          <w:sz w:val="32"/>
          <w:szCs w:val="20"/>
          <w:lang w:val="en-US" w:eastAsia="zh-CN"/>
        </w:rPr>
        <w:t>争取到位中市资金9752万元，编制规划新建丰都县龙河新城保障性住房952套，项目建设顺利开工入统。</w:t>
      </w:r>
      <w:r>
        <w:rPr>
          <w:rFonts w:hint="default" w:ascii="Times New Roman" w:hAnsi="Times New Roman" w:eastAsia="方正仿宋_GBK" w:cs="Times New Roman"/>
          <w:b/>
          <w:bCs/>
          <w:sz w:val="32"/>
          <w:szCs w:val="20"/>
          <w:lang w:val="en-US" w:eastAsia="zh-CN"/>
        </w:rPr>
        <w:t>二是公租房管理进一步规范。</w:t>
      </w:r>
      <w:r>
        <w:rPr>
          <w:rFonts w:hint="default" w:ascii="Times New Roman" w:hAnsi="Times New Roman" w:eastAsia="方正仿宋_GBK" w:cs="Times New Roman"/>
          <w:sz w:val="32"/>
          <w:szCs w:val="20"/>
          <w:lang w:val="en-US" w:eastAsia="zh-CN"/>
        </w:rPr>
        <w:t>拟定《丰都县公共租赁住房管理办法》《公租房改革政策》等文件，统筹我县公租房、廉租房及人才房4240套房屋分配，累计发放租金补贴1.182万元。</w:t>
      </w:r>
      <w:r>
        <w:rPr>
          <w:rFonts w:hint="default" w:ascii="Times New Roman" w:hAnsi="Times New Roman" w:eastAsia="方正仿宋_GBK" w:cs="Times New Roman"/>
          <w:b/>
          <w:bCs/>
          <w:sz w:val="32"/>
          <w:szCs w:val="20"/>
          <w:lang w:val="en-US" w:eastAsia="zh-CN"/>
        </w:rPr>
        <w:t>三是保障性租赁住房筹集提前完成。</w:t>
      </w:r>
      <w:r>
        <w:rPr>
          <w:rFonts w:hint="default" w:ascii="Times New Roman" w:hAnsi="Times New Roman" w:eastAsia="方正仿宋_GBK" w:cs="Times New Roman"/>
          <w:sz w:val="32"/>
          <w:szCs w:val="20"/>
          <w:lang w:val="en-US" w:eastAsia="zh-CN"/>
        </w:rPr>
        <w:t>全年筹集保障性租赁住房150套，目前全县已累计完成筹集保障性租赁住房950套。</w:t>
      </w:r>
      <w:r>
        <w:rPr>
          <w:rFonts w:hint="default" w:ascii="Times New Roman" w:hAnsi="Times New Roman" w:eastAsia="方正仿宋_GBK" w:cs="Times New Roman"/>
          <w:b/>
          <w:bCs/>
          <w:sz w:val="32"/>
          <w:szCs w:val="20"/>
          <w:lang w:val="en-US" w:eastAsia="zh-CN"/>
        </w:rPr>
        <w:t>四是房地产平稳转型。</w:t>
      </w:r>
      <w:r>
        <w:rPr>
          <w:rFonts w:hint="default" w:ascii="Times New Roman" w:hAnsi="Times New Roman" w:eastAsia="方正仿宋_GBK" w:cs="Times New Roman"/>
          <w:sz w:val="32"/>
          <w:szCs w:val="20"/>
          <w:lang w:val="en-US" w:eastAsia="zh-CN"/>
        </w:rPr>
        <w:t>2024年2月在全市率先出台高品质住宅建设政策措施，举办春夏两季房交会，推动宏冠江山印、久桓御景宸、鑫陇御府等三个第四代建筑项目开工建设，累计投资16亿元，共涉及2500余套住房、约22.5万平方米，规划建设套数与预定购买套数比突破1:3。成功出让土地207亩，实现土地出让“破冰”。</w:t>
      </w:r>
    </w:p>
    <w:p w14:paraId="654592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20"/>
          <w:lang w:val="en-US" w:eastAsia="zh-CN"/>
        </w:rPr>
      </w:pPr>
      <w:r>
        <w:rPr>
          <w:rFonts w:hint="default" w:ascii="Times New Roman" w:hAnsi="Times New Roman" w:eastAsia="方正楷体_GBK" w:cs="Times New Roman"/>
          <w:sz w:val="32"/>
          <w:szCs w:val="20"/>
          <w:lang w:val="en-US" w:eastAsia="zh-CN"/>
        </w:rPr>
        <w:t>（六）城市治理全面发力</w:t>
      </w:r>
    </w:p>
    <w:p w14:paraId="1781E27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一是健全城市治理机制。</w:t>
      </w:r>
      <w:r>
        <w:rPr>
          <w:rFonts w:hint="default" w:ascii="Times New Roman" w:hAnsi="Times New Roman" w:eastAsia="方正仿宋_GBK" w:cs="Times New Roman"/>
          <w:sz w:val="32"/>
          <w:szCs w:val="20"/>
          <w:lang w:val="en-US" w:eastAsia="zh-CN"/>
        </w:rPr>
        <w:t>成立丰都县城市治理委员会，组建城市建筑垃圾专项整治工作专班，实现城市治理精细管控，在2024年“渝绣杯”重庆市城市管理执法技能竞赛中荣获二等奖。</w:t>
      </w:r>
      <w:r>
        <w:rPr>
          <w:rFonts w:hint="default" w:ascii="Times New Roman" w:hAnsi="Times New Roman" w:eastAsia="方正仿宋_GBK" w:cs="Times New Roman"/>
          <w:b/>
          <w:bCs/>
          <w:sz w:val="32"/>
          <w:szCs w:val="20"/>
          <w:lang w:val="en-US" w:eastAsia="zh-CN"/>
        </w:rPr>
        <w:t>二是</w:t>
      </w:r>
      <w:r>
        <w:rPr>
          <w:rFonts w:hint="default" w:ascii="Times New Roman" w:hAnsi="Times New Roman" w:eastAsia="方正仿宋_GBK" w:cs="Times New Roman"/>
          <w:sz w:val="32"/>
          <w:szCs w:val="20"/>
          <w:lang w:val="en-US" w:eastAsia="zh-CN"/>
        </w:rPr>
        <w:t>净化城市卫生环境，序时完成垃圾焚烧发电、生活垃圾焚烧炉渣处理项目，推进城市生活垃圾资源化利用、无害化处理，实现城市生活垃圾回收利用率达41.7%。</w:t>
      </w:r>
      <w:r>
        <w:rPr>
          <w:rFonts w:hint="default" w:ascii="Times New Roman" w:hAnsi="Times New Roman" w:eastAsia="方正仿宋_GBK" w:cs="Times New Roman"/>
          <w:b/>
          <w:bCs/>
          <w:sz w:val="32"/>
          <w:szCs w:val="20"/>
          <w:lang w:val="en-US" w:eastAsia="zh-CN"/>
        </w:rPr>
        <w:t>三是践行城市两度执法。</w:t>
      </w:r>
      <w:r>
        <w:rPr>
          <w:rFonts w:hint="default" w:ascii="Times New Roman" w:hAnsi="Times New Roman" w:eastAsia="方正仿宋_GBK" w:cs="Times New Roman"/>
          <w:sz w:val="32"/>
          <w:szCs w:val="20"/>
          <w:lang w:val="en-US" w:eastAsia="zh-CN"/>
        </w:rPr>
        <w:t>在城区创新设置“朝夕摊位”117个，帝景江山设立“车轮上的夜市”摊位54个，人性化执法营造城市烟火气。重拳整治废弃食用油脂处置、建筑垃圾处置、公租房管理等违法行为，累计排查城区机关企事业单位及餐饮酒店1299家，收运处理废弃食用油脂107.36余吨，发放废弃食用油脂告知书11972余份，立案查处9件，取缔黑作坊1家，查处涉案车辆4台，查获废弃油脂6.12余吨，发出《责令限期改正通知书》24份，累计罚款金额13万元；出动渣车专项巡查610人次，车辆282台次，检查渣车366辆次，立案查处建筑垃圾案件14件，罚款24300元。</w:t>
      </w:r>
      <w:r>
        <w:rPr>
          <w:rFonts w:hint="default" w:ascii="Times New Roman" w:hAnsi="Times New Roman" w:eastAsia="方正仿宋_GBK" w:cs="Times New Roman"/>
          <w:b/>
          <w:bCs/>
          <w:sz w:val="32"/>
          <w:szCs w:val="20"/>
          <w:lang w:val="en-US" w:eastAsia="zh-CN"/>
        </w:rPr>
        <w:t>四是攻坚克难迎接“大考”。</w:t>
      </w:r>
      <w:r>
        <w:rPr>
          <w:rFonts w:hint="default" w:ascii="Times New Roman" w:hAnsi="Times New Roman" w:eastAsia="方正仿宋_GBK" w:cs="Times New Roman"/>
          <w:sz w:val="32"/>
          <w:szCs w:val="20"/>
          <w:lang w:val="en-US" w:eastAsia="zh-CN"/>
        </w:rPr>
        <w:t>凝心聚力迎接全国文创与南天湖国家级旅游度假区“大考”，建立文创工作“每日一督查、每周一调度、每月一通报”的专项机制，全年累计出动执法人员2.8万余人次、执法车辆3800余台次，整治骑门占道3.9万余起、噪音喇叭1960余起、户外违规广告及灯箱横幅2000余处，规范游摊商贩4.7万余起、车辆乱停乱靠2.2万余辆，处罚4500余辆、罚款45850元，查处僵尸车13辆。制止露天焚烧206起，拆除篷架伞2800余处、私装地锁22处。受理并办结违法建筑案件162宗，整治违法建筑面积1.4万余㎡、处罚金额584.97万元，办结住建领域处罚案件21件、罚款3.63万元。</w:t>
      </w:r>
    </w:p>
    <w:p w14:paraId="21AAC1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20"/>
          <w:lang w:val="en-US" w:eastAsia="zh-CN"/>
        </w:rPr>
      </w:pPr>
      <w:r>
        <w:rPr>
          <w:rFonts w:hint="default" w:ascii="Times New Roman" w:hAnsi="Times New Roman" w:eastAsia="方正楷体_GBK" w:cs="Times New Roman"/>
          <w:sz w:val="32"/>
          <w:szCs w:val="20"/>
          <w:lang w:val="en-US" w:eastAsia="zh-CN"/>
        </w:rPr>
        <w:t>（七）行业管理有力有序</w:t>
      </w:r>
    </w:p>
    <w:p w14:paraId="5B85189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一是用力开展城市危旧房复查改造。</w:t>
      </w:r>
      <w:r>
        <w:rPr>
          <w:rFonts w:hint="default" w:ascii="Times New Roman" w:hAnsi="Times New Roman" w:eastAsia="方正仿宋_GBK" w:cs="Times New Roman"/>
          <w:sz w:val="32"/>
          <w:szCs w:val="20"/>
          <w:lang w:val="en-US" w:eastAsia="zh-CN"/>
        </w:rPr>
        <w:t>建立完善危房数据库，排查城市C、D危房132栋房屋，其中采取拆除和加固22栋，实现在汛期“零伤亡”。编制3年城市危旧房行动计划，按“130”目标，已完成3栋D级危房的搬离整治计划，剩余15幢、630户整治计划正在有序推进中。</w:t>
      </w:r>
      <w:r>
        <w:rPr>
          <w:rFonts w:hint="default" w:ascii="Times New Roman" w:hAnsi="Times New Roman" w:eastAsia="方正仿宋_GBK" w:cs="Times New Roman"/>
          <w:b/>
          <w:bCs/>
          <w:sz w:val="32"/>
          <w:szCs w:val="20"/>
          <w:lang w:val="en-US" w:eastAsia="zh-CN"/>
        </w:rPr>
        <w:t>二是全面开展农村危房排查工作。</w:t>
      </w:r>
      <w:r>
        <w:rPr>
          <w:rFonts w:hint="default" w:ascii="Times New Roman" w:hAnsi="Times New Roman" w:eastAsia="方正仿宋_GBK" w:cs="Times New Roman"/>
          <w:sz w:val="32"/>
          <w:szCs w:val="20"/>
          <w:lang w:val="en-US" w:eastAsia="zh-CN"/>
        </w:rPr>
        <w:t>累计下达农村低收入群体危房改造两批次、152户，现已全部完工。动态监测低收入群体住房安全3万余户，开展脱贫户住房安全保障“回头看”1.9万余户，复查农村四类重点房屋1.5万余栋、农村CD级危房1.2万余栋，排查切坡建设农村住房边坡1.1万余处。</w:t>
      </w:r>
      <w:r>
        <w:rPr>
          <w:rFonts w:hint="default" w:ascii="Times New Roman" w:hAnsi="Times New Roman" w:eastAsia="方正仿宋_GBK" w:cs="Times New Roman"/>
          <w:b/>
          <w:bCs/>
          <w:sz w:val="32"/>
          <w:szCs w:val="20"/>
          <w:lang w:val="en-US" w:eastAsia="zh-CN"/>
        </w:rPr>
        <w:t>三是广泛开展自建房排查整治。</w:t>
      </w:r>
      <w:r>
        <w:rPr>
          <w:rFonts w:hint="default" w:ascii="Times New Roman" w:hAnsi="Times New Roman" w:eastAsia="方正仿宋_GBK" w:cs="Times New Roman"/>
          <w:sz w:val="32"/>
          <w:szCs w:val="20"/>
          <w:lang w:val="en-US" w:eastAsia="zh-CN"/>
        </w:rPr>
        <w:t>全县自建房累计排查14.6万余栋，排查率100%。初判存在安全隐患的自建房4523栋，组织核查经营性自建房3731栋，全年累计完成自建房处置3193栋，整治销号2113栋，其中经营性自建房52栋全部销号。</w:t>
      </w:r>
      <w:r>
        <w:rPr>
          <w:rFonts w:hint="default" w:ascii="Times New Roman" w:hAnsi="Times New Roman" w:eastAsia="方正仿宋_GBK" w:cs="Times New Roman"/>
          <w:b/>
          <w:bCs/>
          <w:sz w:val="32"/>
          <w:szCs w:val="20"/>
          <w:lang w:val="en-US" w:eastAsia="zh-CN"/>
        </w:rPr>
        <w:t>四是扎实做好“保交房”工作。</w:t>
      </w:r>
      <w:r>
        <w:rPr>
          <w:rFonts w:hint="default" w:ascii="Times New Roman" w:hAnsi="Times New Roman" w:eastAsia="方正仿宋_GBK" w:cs="Times New Roman"/>
          <w:sz w:val="32"/>
          <w:szCs w:val="20"/>
          <w:lang w:val="en-US" w:eastAsia="zh-CN"/>
        </w:rPr>
        <w:t>开展保交房排查工作，制定保交房工作方案、涉稳项目“一项目一策”工作方案，实现丰都房地产保交楼项目6个、2082套提前完成，保交房6个项目、290套住房按期全面完成，实际完成率分别达到216%、472%。</w:t>
      </w:r>
      <w:r>
        <w:rPr>
          <w:rFonts w:hint="default" w:ascii="Times New Roman" w:hAnsi="Times New Roman" w:eastAsia="方正仿宋_GBK" w:cs="Times New Roman"/>
          <w:b/>
          <w:bCs/>
          <w:sz w:val="32"/>
          <w:szCs w:val="20"/>
          <w:lang w:val="en-US" w:eastAsia="zh-CN"/>
        </w:rPr>
        <w:t>五是切实解决预售房风险隐患。</w:t>
      </w:r>
      <w:r>
        <w:rPr>
          <w:rFonts w:hint="default" w:ascii="Times New Roman" w:hAnsi="Times New Roman" w:eastAsia="方正仿宋_GBK" w:cs="Times New Roman"/>
          <w:sz w:val="32"/>
          <w:szCs w:val="20"/>
          <w:lang w:val="en-US" w:eastAsia="zh-CN"/>
        </w:rPr>
        <w:t>研究出台《丰都县商品房销售管理办法》，对新办的预售项目实行预售资金全额监管，保障项目后续建设。</w:t>
      </w:r>
      <w:r>
        <w:rPr>
          <w:rFonts w:hint="default" w:ascii="Times New Roman" w:hAnsi="Times New Roman" w:eastAsia="方正仿宋_GBK" w:cs="Times New Roman"/>
          <w:b/>
          <w:bCs/>
          <w:sz w:val="32"/>
          <w:szCs w:val="20"/>
          <w:lang w:val="en-US" w:eastAsia="zh-CN"/>
        </w:rPr>
        <w:t>六是高效办理民生诉求。</w:t>
      </w:r>
      <w:r>
        <w:rPr>
          <w:rFonts w:hint="default" w:ascii="Times New Roman" w:hAnsi="Times New Roman" w:eastAsia="方正仿宋_GBK" w:cs="Times New Roman"/>
          <w:sz w:val="32"/>
          <w:szCs w:val="20"/>
          <w:lang w:val="en-US" w:eastAsia="zh-CN"/>
        </w:rPr>
        <w:t>建立“民呼我为”工作“3331”长效机制，受理并办结民生诉求595余件、信访85件，办结率均达100%，全年无上市进京上访情况。</w:t>
      </w:r>
      <w:r>
        <w:rPr>
          <w:rFonts w:hint="default" w:ascii="Times New Roman" w:hAnsi="Times New Roman" w:eastAsia="方正仿宋_GBK" w:cs="Times New Roman"/>
          <w:b/>
          <w:bCs/>
          <w:sz w:val="32"/>
          <w:szCs w:val="20"/>
          <w:lang w:val="en-US" w:eastAsia="zh-CN"/>
        </w:rPr>
        <w:t>七是有序推进环保督察问题整改。</w:t>
      </w:r>
      <w:r>
        <w:rPr>
          <w:rFonts w:hint="default" w:ascii="Times New Roman" w:hAnsi="Times New Roman" w:eastAsia="方正仿宋_GBK" w:cs="Times New Roman"/>
          <w:sz w:val="32"/>
          <w:szCs w:val="20"/>
          <w:lang w:val="en-US" w:eastAsia="zh-CN"/>
        </w:rPr>
        <w:t>目前已完成场镇雨污管网排查114.1公里、场镇雨污混排口截流提升工程7个及沿江区域管网整改，有效控制溢流污染，实现清污分流。</w:t>
      </w:r>
    </w:p>
    <w:p w14:paraId="5597A3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20"/>
          <w:lang w:val="en-US" w:eastAsia="zh-CN"/>
        </w:rPr>
      </w:pPr>
      <w:r>
        <w:rPr>
          <w:rFonts w:hint="default" w:ascii="Times New Roman" w:hAnsi="Times New Roman" w:eastAsia="方正楷体_GBK" w:cs="Times New Roman"/>
          <w:sz w:val="32"/>
          <w:szCs w:val="20"/>
          <w:lang w:val="en-US" w:eastAsia="zh-CN"/>
        </w:rPr>
        <w:t>（八）民生实事惠民利民</w:t>
      </w:r>
    </w:p>
    <w:p w14:paraId="3414BF1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一是办好人居环境类民生实事。</w:t>
      </w:r>
      <w:r>
        <w:rPr>
          <w:rFonts w:hint="default" w:ascii="Times New Roman" w:hAnsi="Times New Roman" w:eastAsia="方正仿宋_GBK" w:cs="Times New Roman"/>
          <w:sz w:val="32"/>
          <w:szCs w:val="20"/>
          <w:lang w:val="en-US" w:eastAsia="zh-CN"/>
        </w:rPr>
        <w:t>2023年老旧小区改造获得市政府督查激励资金500万元，153个老旧小区改造项目全面完工，改造完成1309栋、37210户、410.46万平方米。完成街头绿地提质5.2万平方米，新增山城绿道2.6公里、城市绿地68.53万平方米。推进城市“金边银角”小微空间治理，全年完成181处、2.1万平方米。累计完成27个乡镇场镇雨污管网升级改造，更换井盖307个、水篦子414个；疏通城区低洼易积水路段管网18次、水篦子673处。</w:t>
      </w:r>
      <w:r>
        <w:rPr>
          <w:rFonts w:hint="default" w:ascii="Times New Roman" w:hAnsi="Times New Roman" w:eastAsia="方正仿宋_GBK" w:cs="Times New Roman"/>
          <w:b/>
          <w:bCs/>
          <w:sz w:val="32"/>
          <w:szCs w:val="20"/>
          <w:lang w:val="en-US" w:eastAsia="zh-CN"/>
        </w:rPr>
        <w:t>二是办好城市配套类民生实事。</w:t>
      </w:r>
      <w:r>
        <w:rPr>
          <w:rFonts w:hint="default" w:ascii="Times New Roman" w:hAnsi="Times New Roman" w:eastAsia="方正仿宋_GBK" w:cs="Times New Roman"/>
          <w:sz w:val="32"/>
          <w:szCs w:val="20"/>
          <w:lang w:val="en-US" w:eastAsia="zh-CN"/>
        </w:rPr>
        <w:t>研究出台《既有住宅加装电梯补助办法》，实现既有住宅加装电梯共计192台、以旧换新电梯18台。改造老旧小区内庭院灯、楼栋入户灯1.3万余盏，实施城区道路照明节能改造，完成平都大道路灯改造153根、765盏，消除城市照明盲区18处。完成裂口小区、景典龙都口袋公园及朝华文化公园适老化和适儿化更新提质改造。</w:t>
      </w:r>
      <w:r>
        <w:rPr>
          <w:rFonts w:hint="default" w:ascii="Times New Roman" w:hAnsi="Times New Roman" w:eastAsia="方正仿宋_GBK" w:cs="Times New Roman"/>
          <w:b/>
          <w:bCs/>
          <w:sz w:val="32"/>
          <w:szCs w:val="20"/>
          <w:lang w:val="en-US" w:eastAsia="zh-CN"/>
        </w:rPr>
        <w:t>三是办好居民安全类民生实事。</w:t>
      </w:r>
      <w:r>
        <w:rPr>
          <w:rFonts w:hint="default" w:ascii="Times New Roman" w:hAnsi="Times New Roman" w:eastAsia="方正仿宋_GBK" w:cs="Times New Roman"/>
          <w:sz w:val="32"/>
          <w:szCs w:val="20"/>
          <w:lang w:val="en-US" w:eastAsia="zh-CN"/>
        </w:rPr>
        <w:t>开展化粪池安全检查和气体检测1570余座次，完成窨井盖整治650个、外墙瓷砖脱落隐患整治4.5万平方米，安装智慧井盖100套、化粪池智慧监测设施87个。</w:t>
      </w:r>
    </w:p>
    <w:p w14:paraId="14F6DD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20"/>
          <w:lang w:val="en-US" w:eastAsia="zh-CN"/>
        </w:rPr>
      </w:pPr>
      <w:r>
        <w:rPr>
          <w:rFonts w:hint="default" w:ascii="Times New Roman" w:hAnsi="Times New Roman" w:eastAsia="方正黑体_GBK" w:cs="Times New Roman"/>
          <w:sz w:val="32"/>
          <w:szCs w:val="20"/>
          <w:lang w:val="en-US" w:eastAsia="zh-CN"/>
        </w:rPr>
        <w:t>二、党政主要负责人履行推进法治政府建设情况</w:t>
      </w:r>
    </w:p>
    <w:p w14:paraId="24608F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20"/>
          <w:lang w:val="en-US" w:eastAsia="zh-CN"/>
        </w:rPr>
      </w:pPr>
      <w:r>
        <w:rPr>
          <w:rFonts w:hint="default" w:ascii="Times New Roman" w:hAnsi="Times New Roman" w:eastAsia="方正楷体_GBK" w:cs="Times New Roman"/>
          <w:sz w:val="32"/>
          <w:szCs w:val="20"/>
          <w:lang w:val="en-US" w:eastAsia="zh-CN"/>
        </w:rPr>
        <w:t>（一）强化组织保障</w:t>
      </w:r>
    </w:p>
    <w:p w14:paraId="4D4732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1.强化部署及时履职。</w:t>
      </w:r>
      <w:r>
        <w:rPr>
          <w:rFonts w:hint="default" w:ascii="Times New Roman" w:hAnsi="Times New Roman" w:eastAsia="方正仿宋_GBK" w:cs="Times New Roman"/>
          <w:sz w:val="32"/>
          <w:szCs w:val="20"/>
          <w:lang w:val="en-US" w:eastAsia="zh-CN"/>
        </w:rPr>
        <w:t>根据班子分工情况，确定以主要领导任组长，分管领导任常务副组长、其余班子成员为副组长，委机关各科室、直属各单位负责人为成员的法治政府建设工作领导小组，下设办公室于委执法监管科。</w:t>
      </w:r>
    </w:p>
    <w:p w14:paraId="4C30A1A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2.政治思想建设有力。</w:t>
      </w:r>
      <w:r>
        <w:rPr>
          <w:rFonts w:hint="default" w:ascii="Times New Roman" w:hAnsi="Times New Roman" w:eastAsia="方正仿宋_GBK" w:cs="Times New Roman"/>
          <w:sz w:val="32"/>
          <w:szCs w:val="20"/>
          <w:lang w:val="en-US" w:eastAsia="zh-CN"/>
        </w:rPr>
        <w:t>把</w:t>
      </w:r>
      <w:r>
        <w:rPr>
          <w:rFonts w:hint="eastAsia" w:eastAsia="方正仿宋_GBK" w:cs="Times New Roman"/>
          <w:sz w:val="32"/>
          <w:szCs w:val="20"/>
          <w:lang w:val="en-US" w:eastAsia="zh-CN"/>
        </w:rPr>
        <w:t>学习贯彻习近平总书记系列重要讲话</w:t>
      </w:r>
      <w:r>
        <w:rPr>
          <w:rFonts w:hint="default" w:ascii="Times New Roman" w:hAnsi="Times New Roman" w:eastAsia="方正仿宋_GBK" w:cs="Times New Roman"/>
          <w:sz w:val="32"/>
          <w:szCs w:val="20"/>
          <w:lang w:val="en-US" w:eastAsia="zh-CN"/>
        </w:rPr>
        <w:t>重要指示作为党组会第一议题、党组理论学习中心组第一主题、党员干部学习培训第一主课，全年召开党组（扩大）会26次、主任办公会14次，组织</w:t>
      </w:r>
      <w:r>
        <w:rPr>
          <w:rFonts w:hint="eastAsia" w:eastAsia="方正仿宋_GBK" w:cs="Times New Roman"/>
          <w:sz w:val="32"/>
          <w:szCs w:val="20"/>
          <w:lang w:val="en-US" w:eastAsia="zh-CN"/>
        </w:rPr>
        <w:t>理论学习中心组</w:t>
      </w:r>
      <w:r>
        <w:rPr>
          <w:rFonts w:hint="default" w:ascii="Times New Roman" w:hAnsi="Times New Roman" w:eastAsia="方正仿宋_GBK" w:cs="Times New Roman"/>
          <w:sz w:val="32"/>
          <w:szCs w:val="20"/>
          <w:lang w:val="en-US" w:eastAsia="zh-CN"/>
        </w:rPr>
        <w:t>学习7次；组织全</w:t>
      </w:r>
      <w:bookmarkStart w:id="0" w:name="_GoBack"/>
      <w:bookmarkEnd w:id="0"/>
      <w:r>
        <w:rPr>
          <w:rFonts w:hint="default" w:ascii="Times New Roman" w:hAnsi="Times New Roman" w:eastAsia="方正仿宋_GBK" w:cs="Times New Roman"/>
          <w:sz w:val="32"/>
          <w:szCs w:val="20"/>
          <w:lang w:val="en-US" w:eastAsia="zh-CN"/>
        </w:rPr>
        <w:t>体干部职工参加网上普法学习考试，合格率达100%。</w:t>
      </w:r>
      <w:r>
        <w:rPr>
          <w:rFonts w:hint="eastAsia" w:eastAsia="方正仿宋_GBK" w:cs="Times New Roman"/>
          <w:sz w:val="32"/>
          <w:szCs w:val="20"/>
          <w:lang w:val="en-US" w:eastAsia="zh-CN"/>
        </w:rPr>
        <w:t>住房和城乡建设</w:t>
      </w:r>
      <w:r>
        <w:rPr>
          <w:rFonts w:hint="default" w:ascii="Times New Roman" w:hAnsi="Times New Roman" w:eastAsia="方正仿宋_GBK" w:cs="Times New Roman"/>
          <w:sz w:val="32"/>
          <w:szCs w:val="20"/>
          <w:lang w:val="en-US" w:eastAsia="zh-CN"/>
        </w:rPr>
        <w:t>和城市治理工作先后被新华社、人民网、重庆日报等主流媒体宣传报道，并入选住建部官网。</w:t>
      </w:r>
    </w:p>
    <w:p w14:paraId="7544F9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3.领导带头增强学习力度。</w:t>
      </w:r>
      <w:r>
        <w:rPr>
          <w:rFonts w:hint="default" w:ascii="Times New Roman" w:hAnsi="Times New Roman" w:eastAsia="方正仿宋_GBK" w:cs="Times New Roman"/>
          <w:sz w:val="32"/>
          <w:szCs w:val="20"/>
          <w:lang w:val="en-US" w:eastAsia="zh-CN"/>
        </w:rPr>
        <w:t>注重加强对法治工作的领导，委党组书记、主任易文颀同志切实履行法治建设第一责任人职责，认真贯彻落实《中国共产党党组工作条例》《中国共产党支部工作条例（试行）》等；组织党组会、主任办公会、理论学习中心组，第一时间、第一议题学习贯彻习近平新时代中国特色社会主义思想和系列重要讲话精神共学习40次，带头上党课8次，利用住建QQ群、微信群、领班群、渝快政等掌上媒体时时引领学习党的创新理论和法规政策，做到学习精准性、时效性。</w:t>
      </w:r>
    </w:p>
    <w:p w14:paraId="68CB47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20"/>
          <w:lang w:val="en-US" w:eastAsia="zh-CN"/>
        </w:rPr>
      </w:pPr>
      <w:r>
        <w:rPr>
          <w:rFonts w:hint="default" w:ascii="Times New Roman" w:hAnsi="Times New Roman" w:eastAsia="方正楷体_GBK" w:cs="Times New Roman"/>
          <w:sz w:val="32"/>
          <w:szCs w:val="20"/>
          <w:lang w:val="en-US" w:eastAsia="zh-CN"/>
        </w:rPr>
        <w:t>（二）依法推进法治政府建设</w:t>
      </w:r>
    </w:p>
    <w:p w14:paraId="4EFA14F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sz w:val="32"/>
          <w:szCs w:val="20"/>
          <w:lang w:val="en-US" w:eastAsia="zh-CN"/>
        </w:rPr>
        <w:t>1.组织工作扎实推进。</w:t>
      </w:r>
      <w:r>
        <w:rPr>
          <w:rFonts w:hint="default" w:ascii="Times New Roman" w:hAnsi="Times New Roman" w:eastAsia="方正仿宋_GBK" w:cs="Times New Roman"/>
          <w:sz w:val="32"/>
          <w:szCs w:val="20"/>
          <w:lang w:val="en-US" w:eastAsia="zh-CN"/>
        </w:rPr>
        <w:t>围绕“城管进社区”五色党建品牌，构建“委党组”+“五色支部”+“五色党员先锋”组织架构。全面落实机关党建工作重点任务，深化活力党组织建设，机关党委全年新发展党员2名、吸收入党积极分子4名，书记讲党课3次，投入8万余元升级改造退休党支部活动阵地。晋升职级公务员12名，引进高层次人才1名，评选住建榜样12人、住建铁军10人，新招录公务员（执法参公人员）13名。平稳高效完成住建城管合并，工作成效获中央编办机构改革调研组高度肯定。</w:t>
      </w:r>
    </w:p>
    <w:p w14:paraId="32B0D5F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2.纪律作风从严务实。</w:t>
      </w:r>
      <w:r>
        <w:rPr>
          <w:rFonts w:hint="default" w:ascii="Times New Roman" w:hAnsi="Times New Roman" w:eastAsia="方正仿宋_GBK" w:cs="Times New Roman"/>
          <w:sz w:val="32"/>
          <w:szCs w:val="20"/>
          <w:lang w:val="en-US" w:eastAsia="zh-CN"/>
        </w:rPr>
        <w:t>高质量开展党纪学习教育，组织支部主题党日集中学习57次，开展纪律党课15次，推动党纪学习教育融入日常、抓在经常。高标准开展住建城管领域群众身边不正之风和腐败问题集中整治，全方位联动派驻纪检监察组同谋划、同部署、同推动、同督查，聚焦生态环保、工程验收、住房保障等7大领域，排查并整改问题34个。高要求推进清廉重庆建设，《丰都县住建委完善推动制度落实体制机制打通农民工工资支付堵点卡点》荣获全市清廉工程优秀实践案例。</w:t>
      </w:r>
    </w:p>
    <w:p w14:paraId="33288B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3.普法知法范围扩大。</w:t>
      </w:r>
      <w:r>
        <w:rPr>
          <w:rFonts w:hint="default" w:ascii="Times New Roman" w:hAnsi="Times New Roman" w:eastAsia="方正仿宋_GBK" w:cs="Times New Roman"/>
          <w:sz w:val="32"/>
          <w:szCs w:val="20"/>
          <w:lang w:val="en-US" w:eastAsia="zh-CN"/>
        </w:rPr>
        <w:t>通过网络、标语、展板、LED显示屏等形式，加强对法规政策和典型案件的宣传；组织观看行业系统专题警示片10次，向61个建筑工地、80余家建筑企业张贴发放6000余份，悬挂宣传条幅80余幅；发放法治政府建设应知内容汇编100份，普及读本600份，围绕“美丽新重庆环境整治大家行”主题，今年开展了“城市管理服务主题周”、质量月、安全生产月等宣传活动，发放各类宣传单2000余份。</w:t>
      </w:r>
    </w:p>
    <w:p w14:paraId="477057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20"/>
          <w:lang w:val="en-US" w:eastAsia="zh-CN"/>
        </w:rPr>
      </w:pPr>
      <w:r>
        <w:rPr>
          <w:rFonts w:hint="default" w:ascii="Times New Roman" w:hAnsi="Times New Roman" w:eastAsia="方正黑体_GBK" w:cs="Times New Roman"/>
          <w:sz w:val="32"/>
          <w:szCs w:val="20"/>
          <w:lang w:val="en-US" w:eastAsia="zh-CN"/>
        </w:rPr>
        <w:t>三、推进法治政府建设存在的不足和原因</w:t>
      </w:r>
    </w:p>
    <w:p w14:paraId="55D20D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我委在推进依法行政、加快法治建设工作方面虽然取得了以上成效，但对法治思维和法治意识还需加强。具体还存在以下五个方面的短板差距：</w:t>
      </w:r>
    </w:p>
    <w:p w14:paraId="0D6A27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楷体_GBK" w:cs="Times New Roman"/>
          <w:sz w:val="32"/>
          <w:szCs w:val="20"/>
          <w:lang w:val="en-US" w:eastAsia="zh-CN"/>
        </w:rPr>
        <w:t>（一）建筑市场方面。</w:t>
      </w:r>
      <w:r>
        <w:rPr>
          <w:rFonts w:hint="default" w:ascii="Times New Roman" w:hAnsi="Times New Roman" w:eastAsia="方正仿宋_GBK" w:cs="Times New Roman"/>
          <w:sz w:val="32"/>
          <w:szCs w:val="20"/>
          <w:lang w:val="en-US" w:eastAsia="zh-CN"/>
        </w:rPr>
        <w:t>主要存在市场主体诚信综合评价失信惩戒不够严实，工程结算不及时，拖欠工程款，导致民工工资未能及时支付，造成信访案件的增多，调解工作量增大。</w:t>
      </w:r>
    </w:p>
    <w:p w14:paraId="3CFEA9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楷体_GBK" w:cs="Times New Roman"/>
          <w:sz w:val="32"/>
          <w:szCs w:val="20"/>
          <w:lang w:val="en-US" w:eastAsia="zh-CN"/>
        </w:rPr>
        <w:t>（二）房地产业方面。</w:t>
      </w:r>
      <w:r>
        <w:rPr>
          <w:rFonts w:hint="default" w:ascii="Times New Roman" w:hAnsi="Times New Roman" w:eastAsia="方正仿宋_GBK" w:cs="Times New Roman"/>
          <w:sz w:val="32"/>
          <w:szCs w:val="20"/>
          <w:lang w:val="en-US" w:eastAsia="zh-CN"/>
        </w:rPr>
        <w:t>房地产业发展受阻，企业投资意愿放缓，市场信心不足；拖欠工程款、材料款及民工工资遗留问题不少，个别屋面渗漏、开裂、空鼓等质量问题导致购房人投诉。</w:t>
      </w:r>
    </w:p>
    <w:p w14:paraId="59939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楷体_GBK" w:cs="Times New Roman"/>
          <w:sz w:val="32"/>
          <w:szCs w:val="20"/>
          <w:lang w:val="en-US" w:eastAsia="zh-CN"/>
        </w:rPr>
        <w:t>（三）物业管理方面。</w:t>
      </w:r>
      <w:r>
        <w:rPr>
          <w:rFonts w:hint="default" w:ascii="Times New Roman" w:hAnsi="Times New Roman" w:eastAsia="方正仿宋_GBK" w:cs="Times New Roman"/>
          <w:sz w:val="32"/>
          <w:szCs w:val="20"/>
          <w:lang w:val="en-US" w:eastAsia="zh-CN"/>
        </w:rPr>
        <w:t>个别擅自利用业主共用部分开展经营活动，侵占、挪用业主共有部分经营收益；物业专项维修资金归集度有待进一步提高；违规装修投诉较多，业主期待值与物业服务质效的矛盾造成物业纠纷多。</w:t>
      </w:r>
    </w:p>
    <w:p w14:paraId="2D51E1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楷体_GBK" w:cs="Times New Roman"/>
          <w:sz w:val="32"/>
          <w:szCs w:val="20"/>
          <w:lang w:val="en-US" w:eastAsia="zh-CN"/>
        </w:rPr>
        <w:t>（四）城市管理方面。</w:t>
      </w:r>
      <w:r>
        <w:rPr>
          <w:rFonts w:hint="default" w:ascii="Times New Roman" w:hAnsi="Times New Roman" w:eastAsia="方正仿宋_GBK" w:cs="Times New Roman"/>
          <w:sz w:val="32"/>
          <w:szCs w:val="20"/>
          <w:lang w:val="en-US" w:eastAsia="zh-CN"/>
        </w:rPr>
        <w:t>城市管理点多面广线长，历史遗留问题较多，市容环境卫生投诉较多。</w:t>
      </w:r>
    </w:p>
    <w:p w14:paraId="0163C2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楷体_GBK" w:cs="Times New Roman"/>
          <w:sz w:val="32"/>
          <w:szCs w:val="20"/>
          <w:lang w:val="en-US" w:eastAsia="zh-CN"/>
        </w:rPr>
        <w:t>（五）建筑施工方面。</w:t>
      </w:r>
      <w:r>
        <w:rPr>
          <w:rFonts w:hint="default" w:ascii="Times New Roman" w:hAnsi="Times New Roman" w:eastAsia="方正仿宋_GBK" w:cs="Times New Roman"/>
          <w:sz w:val="32"/>
          <w:szCs w:val="20"/>
          <w:lang w:val="en-US" w:eastAsia="zh-CN"/>
        </w:rPr>
        <w:t>个别工地安全文明施工措施不到位、“四口五临边”防护不到位、施工用电未按“三相五线制”设置，不按标准设置；非作业区裸露土未覆盖、施工湿法作业普及面不大，施工扬尘控制有待加强。</w:t>
      </w:r>
    </w:p>
    <w:p w14:paraId="7CA11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20"/>
          <w:lang w:val="en-US" w:eastAsia="zh-CN"/>
        </w:rPr>
      </w:pPr>
      <w:r>
        <w:rPr>
          <w:rFonts w:hint="eastAsia" w:ascii="方正黑体_GBK" w:hAnsi="方正黑体_GBK" w:eastAsia="方正黑体_GBK" w:cs="方正黑体_GBK"/>
          <w:sz w:val="32"/>
          <w:szCs w:val="20"/>
          <w:lang w:val="en-US" w:eastAsia="zh-CN"/>
        </w:rPr>
        <w:t>四、2025年推进法治政府建设的工作思路、目标举措</w:t>
      </w:r>
    </w:p>
    <w:p w14:paraId="6253C4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2025年，我们将紧紧围绕“郊区新城、文化名城、山水智城”定位，聚焦“新型城镇化高质量发展”目标，唯实争先发扬“三牛”精神，坚持“问题导向、系统思维、数字赋能、除险固安、迭代升级”五大战略，在提高“政治三力”、强化“城市三管”、回答“城市三问”上下功夫，不断优化空间布局、补齐城市要件、推进城市智慧管理、加强城市综合治理、增强城市安全韧性、强化城市共治共享，着力打造宜居、韧性、智慧城市，努力推进现代化美丽丰都建设。</w:t>
      </w:r>
    </w:p>
    <w:p w14:paraId="471D49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20"/>
          <w:lang w:val="en-US" w:eastAsia="zh-CN"/>
        </w:rPr>
      </w:pPr>
      <w:r>
        <w:rPr>
          <w:rFonts w:hint="default" w:ascii="Times New Roman" w:hAnsi="Times New Roman" w:eastAsia="方正楷体_GBK" w:cs="Times New Roman"/>
          <w:sz w:val="32"/>
          <w:szCs w:val="20"/>
          <w:lang w:val="en-US" w:eastAsia="zh-CN"/>
        </w:rPr>
        <w:t>（一）深入推进法治政府建设落地落实</w:t>
      </w:r>
    </w:p>
    <w:p w14:paraId="0195CD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1.认真履行职责。</w:t>
      </w:r>
      <w:r>
        <w:rPr>
          <w:rFonts w:hint="default" w:ascii="Times New Roman" w:hAnsi="Times New Roman" w:eastAsia="方正仿宋_GBK" w:cs="Times New Roman"/>
          <w:sz w:val="32"/>
          <w:szCs w:val="20"/>
          <w:lang w:val="en-US" w:eastAsia="zh-CN"/>
        </w:rPr>
        <w:t>严格落实党政主要负责人履行推进法治政府建设第一责任人职责。深入推进落实“谁执法谁普法”工作机制，打造有特色、有影响、有实效的法治宣传。坚定共产主义信仰，提高政治敏锐性和鉴别力，自觉同以习近平同志为核心的党中央保持高度一致。全面贯彻落实市委六届历次全会和市委经济工作会议及我县十五届历次全会和县委经济工作等会议精神，正确处理好学习与工作的关系，自觉做到“八个带头”，按照党员领导干部标准，坚持为民务实清廉，始终把群众利益放在第一位，带领全体干部职工，为推进工作向前发展，促进行业健康持续发展做出新贡献。</w:t>
      </w:r>
    </w:p>
    <w:p w14:paraId="382021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2.强化责任担当。</w:t>
      </w:r>
      <w:r>
        <w:rPr>
          <w:rFonts w:hint="default" w:ascii="Times New Roman" w:hAnsi="Times New Roman" w:eastAsia="方正仿宋_GBK" w:cs="Times New Roman"/>
          <w:sz w:val="32"/>
          <w:szCs w:val="20"/>
          <w:lang w:val="en-US" w:eastAsia="zh-CN"/>
        </w:rPr>
        <w:t>发挥住建部门自身职能，主动承担好法治政府建设职责任务，依法履职，强化监管。针对城市管理、工程项目建设、建筑企业资质、房地产开发、物业小区管理、建材供应运输、城乡危房改造等重点领域，摸排问题线索，找准管控漏洞，抓重点、补短板、强弱项，全力规范行业秩序，维护社会公平正义。</w:t>
      </w:r>
    </w:p>
    <w:p w14:paraId="035B65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3.创新监管服务。</w:t>
      </w:r>
      <w:r>
        <w:rPr>
          <w:rFonts w:hint="default" w:ascii="Times New Roman" w:hAnsi="Times New Roman" w:eastAsia="方正仿宋_GBK" w:cs="Times New Roman"/>
          <w:sz w:val="32"/>
          <w:szCs w:val="20"/>
          <w:lang w:val="en-US" w:eastAsia="zh-CN"/>
        </w:rPr>
        <w:t>结合“放管服”改革，加快建立以“双随机、一公开”为基本手段、重点检查为补充、信用监管为基础的新型监管机制。认真贯彻上级相关文件精神、优化建设工程审查审批流程，提升行业日常监管水平和服务质量。进一步完善行业管理，严格执行相关监管制度及政策，建立健全长效机制，持续推动行业高质量发展、高水平治理。</w:t>
      </w:r>
    </w:p>
    <w:p w14:paraId="72A614C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4.优化行业队伍建设。</w:t>
      </w:r>
      <w:r>
        <w:rPr>
          <w:rFonts w:hint="default" w:ascii="Times New Roman" w:hAnsi="Times New Roman" w:eastAsia="方正仿宋_GBK" w:cs="Times New Roman"/>
          <w:sz w:val="32"/>
          <w:szCs w:val="20"/>
          <w:lang w:val="en-US" w:eastAsia="zh-CN"/>
        </w:rPr>
        <w:t>根据新形势、新要求持续优化领导班子分工，形成强大工作合力。围绕“住建榜样”“住建铁军”，注重年轻干部培养教育，着力培养多岗位锻炼的全方位后备人才，畅通干部晋升交流渠道，激发干部干事热情、提升干部干事能力。</w:t>
      </w:r>
    </w:p>
    <w:p w14:paraId="2D661B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20"/>
          <w:lang w:val="en-US" w:eastAsia="zh-CN"/>
        </w:rPr>
      </w:pPr>
      <w:r>
        <w:rPr>
          <w:rFonts w:hint="default" w:ascii="Times New Roman" w:hAnsi="Times New Roman" w:eastAsia="方正楷体_GBK" w:cs="Times New Roman"/>
          <w:sz w:val="32"/>
          <w:szCs w:val="20"/>
          <w:lang w:val="en-US" w:eastAsia="zh-CN"/>
        </w:rPr>
        <w:t>（二）依法推进“宜居、韧性、智慧”建设的城市更新行动</w:t>
      </w:r>
    </w:p>
    <w:p w14:paraId="41EA9F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1.建好城市大件。</w:t>
      </w:r>
      <w:r>
        <w:rPr>
          <w:rFonts w:hint="default" w:ascii="Times New Roman" w:hAnsi="Times New Roman" w:eastAsia="方正仿宋_GBK" w:cs="Times New Roman"/>
          <w:sz w:val="32"/>
          <w:szCs w:val="20"/>
          <w:lang w:val="en-US" w:eastAsia="zh-CN"/>
        </w:rPr>
        <w:t>围绕新型城镇化，以“小县大城”试点为抓手，统筹城乡高质量发展，加快完善城市功能，推进横五路、丰武路、龙凤桥、高铁新区等城市大件项目建设。</w:t>
      </w:r>
    </w:p>
    <w:p w14:paraId="4FFF742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2.坚持民生为大。</w:t>
      </w:r>
      <w:r>
        <w:rPr>
          <w:rFonts w:hint="default" w:ascii="Times New Roman" w:hAnsi="Times New Roman" w:eastAsia="方正仿宋_GBK" w:cs="Times New Roman"/>
          <w:sz w:val="32"/>
          <w:szCs w:val="20"/>
          <w:lang w:val="en-US" w:eastAsia="zh-CN"/>
        </w:rPr>
        <w:t>开展N行动，全面完成39个老旧小区68.6万平方米改造任务，持续推进城市危旧房整治。持续深入开展城市功能补位行动。围绕“补车位”“补座位”“补蹲位”谋划，加强城市老旧管线改造升级，完成供排水管网改造120.258公里、附属设施31758个，完成外墙瓷砖脱落整治2万平方米，确保城市运行安全。</w:t>
      </w:r>
    </w:p>
    <w:p w14:paraId="3A06AC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bCs/>
          <w:sz w:val="32"/>
          <w:szCs w:val="20"/>
          <w:lang w:val="en-US" w:eastAsia="zh-CN"/>
        </w:rPr>
        <w:t>3.打造韧性城市。</w:t>
      </w:r>
      <w:r>
        <w:rPr>
          <w:rFonts w:hint="default" w:ascii="Times New Roman" w:hAnsi="Times New Roman" w:eastAsia="方正仿宋_GBK" w:cs="Times New Roman"/>
          <w:sz w:val="32"/>
          <w:szCs w:val="20"/>
          <w:lang w:val="en-US" w:eastAsia="zh-CN"/>
        </w:rPr>
        <w:t>围绕韧性城市实施智能化市政基础设施建设和改造，深入开展市政基础设施普查，建立设施信息动态更新机制，全面掌握现状底数和管养状况。加快推进城市基础设施生命线工程建设，逐步实现对市政基础设施运行状况的实时监测、模拟仿真、情景构建、快速评估和大数据分析，提高安全隐患及时预警和事故应急处置能力，保障市政基础设施安全运行。强化燃气泄漏智能化监控、加强水质监测保障供水水质安全、加强对城市桥梁和隧道等设施的安全运行监测、健全城区排涝通道、强化地下车库等防淹功能。建立房屋使用全生命周期安全管理制度，依托第一次全国自然灾害综合风险普查数据和底图，全面动态掌握房屋建筑安全隐患底数，重点排查老旧住宅电梯、老旧房屋设施抗震性能、建筑消防设施、消防登高作业面和疏散通道等安全隐患，形成房屋建筑安全隐患数字档案。支持有条件的住区结合完整社区建设，实施公共设施数字化、网络化、智能化改造与管理，提高智慧化安全防范、监测预警和应急处置能力，提升城市住区韧性。</w:t>
      </w:r>
    </w:p>
    <w:p w14:paraId="7BA784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20"/>
          <w:lang w:val="en-US" w:eastAsia="zh-CN"/>
        </w:rPr>
        <w:t>4.建设智慧城市。</w:t>
      </w:r>
      <w:r>
        <w:rPr>
          <w:rFonts w:hint="default" w:ascii="Times New Roman" w:hAnsi="Times New Roman" w:eastAsia="方正仿宋_GBK" w:cs="Times New Roman"/>
          <w:sz w:val="32"/>
          <w:szCs w:val="20"/>
          <w:lang w:val="en-US" w:eastAsia="zh-CN"/>
        </w:rPr>
        <w:t>加快重点公共区域和道路视频监控等安防设备智能化改造。编制智能化市政基础设施建设和改造行动计划，因地制宜对城镇市政基础设施进行数字化改造升级和智能化管理。建立涵盖管线类别齐全、基础数据准确、数据共享安全、数据价值发挥充分的地下管网“一张图”体系，打造地下管网规划、建设、运维、管理全流程的基础数据平台，实现地下管网建设运行可视化三维立体智慧管控。推动智慧城市基础设施与智能网联汽车协同发展，以支撑智能网联汽车应用和改善城市出行为切入点，建设城市道路、建筑、公共设施融合感知体系。开展数字家庭建设，逐步完善城市信息模型（CIM）平台。</w:t>
      </w:r>
    </w:p>
    <w:p w14:paraId="522FF5B5">
      <w:pPr>
        <w:ind w:left="0" w:leftChars="0" w:firstLine="0" w:firstLineChars="0"/>
        <w:rPr>
          <w:rFonts w:hint="default"/>
        </w:rPr>
      </w:pPr>
    </w:p>
    <w:p w14:paraId="5A387672">
      <w:pPr>
        <w:pageBreakBefore w:val="0"/>
        <w:widowControl w:val="0"/>
        <w:kinsoku/>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方正仿宋_GBK" w:cs="Times New Roman"/>
          <w:color w:val="000000"/>
          <w:sz w:val="28"/>
          <w:szCs w:val="28"/>
          <w:u w:val="thick"/>
          <w:lang w:val="en-US" w:eastAsia="zh-CN"/>
        </w:rPr>
      </w:pPr>
    </w:p>
    <w:sectPr>
      <w:headerReference r:id="rId5" w:type="default"/>
      <w:footerReference r:id="rId6" w:type="default"/>
      <w:pgSz w:w="11906" w:h="16838"/>
      <w:pgMar w:top="2098" w:right="1474" w:bottom="1984" w:left="1587" w:header="851" w:footer="992" w:gutter="0"/>
      <w:pgNumType w:fmt="numberInDash"/>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00000000" w:usb1="00000000" w:usb2="00000016" w:usb3="00000000" w:csb0="00100001" w:csb1="00000000"/>
  </w:font>
  <w:font w:name="Noto Sans CJK SC">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2D81A">
    <w:pPr>
      <w:pStyle w:val="17"/>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F7E2096">
                          <w:pPr>
                            <w:pStyle w:val="17"/>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6yY9L88BAACbAwAADgAAAAAAAAABACAAAAAfAQAAZHJz&#10;L2Uyb0RvYy54bWxQSwUGAAAAAAYABgBZAQAAYAUAAAAA&#10;">
              <v:fill on="f" focussize="0,0"/>
              <v:stroke on="f"/>
              <v:imagedata o:title=""/>
              <o:lock v:ext="edit" aspectratio="f"/>
              <v:textbox inset="0mm,0mm,0mm,0mm" style="mso-fit-shape-to-text:t;">
                <w:txbxContent>
                  <w:p w14:paraId="1F7E2096">
                    <w:pPr>
                      <w:pStyle w:val="17"/>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BBB18">
    <w:pPr>
      <w:pStyle w:val="1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0MjM5Zjk4MjAyNjU1NDNhNmFmYmU1ZTJhOTQyNTEifQ=="/>
  </w:docVars>
  <w:rsids>
    <w:rsidRoot w:val="00000000"/>
    <w:rsid w:val="011F0FC7"/>
    <w:rsid w:val="04D550AF"/>
    <w:rsid w:val="05885D4F"/>
    <w:rsid w:val="06D010CD"/>
    <w:rsid w:val="0B024724"/>
    <w:rsid w:val="11AB1672"/>
    <w:rsid w:val="13FC2057"/>
    <w:rsid w:val="155344FA"/>
    <w:rsid w:val="15973BD7"/>
    <w:rsid w:val="16610551"/>
    <w:rsid w:val="18C82C87"/>
    <w:rsid w:val="1C1F5136"/>
    <w:rsid w:val="1D1502E7"/>
    <w:rsid w:val="1DB95116"/>
    <w:rsid w:val="1E6A01BF"/>
    <w:rsid w:val="1E9A4F48"/>
    <w:rsid w:val="1F703EFB"/>
    <w:rsid w:val="1F7D3F22"/>
    <w:rsid w:val="23723D89"/>
    <w:rsid w:val="2A467DC9"/>
    <w:rsid w:val="2BAA609E"/>
    <w:rsid w:val="2D095047"/>
    <w:rsid w:val="2E3D208B"/>
    <w:rsid w:val="2E5844D8"/>
    <w:rsid w:val="2EF266DA"/>
    <w:rsid w:val="309061AB"/>
    <w:rsid w:val="31725842"/>
    <w:rsid w:val="3431735D"/>
    <w:rsid w:val="34EC5401"/>
    <w:rsid w:val="352B64A2"/>
    <w:rsid w:val="36AA33F6"/>
    <w:rsid w:val="36DE5112"/>
    <w:rsid w:val="37771632"/>
    <w:rsid w:val="37B86585"/>
    <w:rsid w:val="38D20DDA"/>
    <w:rsid w:val="3B220512"/>
    <w:rsid w:val="3C834E15"/>
    <w:rsid w:val="3C9B6170"/>
    <w:rsid w:val="441072E2"/>
    <w:rsid w:val="466D7055"/>
    <w:rsid w:val="48464C67"/>
    <w:rsid w:val="48A50B29"/>
    <w:rsid w:val="491F5EC6"/>
    <w:rsid w:val="49D918B6"/>
    <w:rsid w:val="4A8835F7"/>
    <w:rsid w:val="4AD056CA"/>
    <w:rsid w:val="4CF44A19"/>
    <w:rsid w:val="4DE33966"/>
    <w:rsid w:val="4E0B6AF1"/>
    <w:rsid w:val="50811214"/>
    <w:rsid w:val="544B78E9"/>
    <w:rsid w:val="54DA31DF"/>
    <w:rsid w:val="5520783C"/>
    <w:rsid w:val="55D50E3F"/>
    <w:rsid w:val="55F81F79"/>
    <w:rsid w:val="560B3A5A"/>
    <w:rsid w:val="56ED16E9"/>
    <w:rsid w:val="5E2C6C63"/>
    <w:rsid w:val="5F1B5775"/>
    <w:rsid w:val="60C944E6"/>
    <w:rsid w:val="63B35731"/>
    <w:rsid w:val="64025D70"/>
    <w:rsid w:val="668A1EC9"/>
    <w:rsid w:val="69863C13"/>
    <w:rsid w:val="6FFE8AF6"/>
    <w:rsid w:val="72463042"/>
    <w:rsid w:val="72577A0D"/>
    <w:rsid w:val="72ED7AE5"/>
    <w:rsid w:val="73FB2F08"/>
    <w:rsid w:val="761549AF"/>
    <w:rsid w:val="780B19DA"/>
    <w:rsid w:val="7B256ABC"/>
    <w:rsid w:val="7B8E0DA7"/>
    <w:rsid w:val="7D5611AF"/>
    <w:rsid w:val="7D9FF806"/>
    <w:rsid w:val="7DDE6E47"/>
    <w:rsid w:val="7EDE258C"/>
    <w:rsid w:val="7F07ECB2"/>
    <w:rsid w:val="7FC5E823"/>
    <w:rsid w:val="7FF4D3C4"/>
    <w:rsid w:val="7FFA22C6"/>
    <w:rsid w:val="9E1DDE32"/>
    <w:rsid w:val="A7FF856C"/>
    <w:rsid w:val="B2E5696C"/>
    <w:rsid w:val="CE6E3DEC"/>
    <w:rsid w:val="E77F64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33"/>
    <w:qFormat/>
    <w:uiPriority w:val="9"/>
    <w:pPr>
      <w:spacing w:line="240" w:lineRule="auto"/>
      <w:ind w:firstLine="0" w:firstLineChars="0"/>
      <w:jc w:val="center"/>
      <w:outlineLvl w:val="0"/>
    </w:pPr>
    <w:rPr>
      <w:rFonts w:eastAsia="方正小标宋简体" w:cs="宋体"/>
      <w:bCs/>
      <w:kern w:val="44"/>
      <w:sz w:val="44"/>
      <w:szCs w:val="44"/>
    </w:rPr>
  </w:style>
  <w:style w:type="paragraph" w:styleId="4">
    <w:name w:val="heading 2"/>
    <w:basedOn w:val="1"/>
    <w:next w:val="1"/>
    <w:link w:val="44"/>
    <w:qFormat/>
    <w:uiPriority w:val="9"/>
    <w:pPr>
      <w:spacing w:line="240" w:lineRule="auto"/>
      <w:ind w:firstLine="0" w:firstLineChars="0"/>
      <w:jc w:val="center"/>
      <w:outlineLvl w:val="1"/>
    </w:pPr>
    <w:rPr>
      <w:rFonts w:eastAsia="楷体" w:cs="宋体"/>
      <w:bCs/>
      <w:szCs w:val="32"/>
    </w:rPr>
  </w:style>
  <w:style w:type="paragraph" w:styleId="5">
    <w:name w:val="heading 3"/>
    <w:basedOn w:val="1"/>
    <w:next w:val="1"/>
    <w:link w:val="55"/>
    <w:qFormat/>
    <w:uiPriority w:val="9"/>
    <w:pPr>
      <w:keepNext/>
      <w:keepLines/>
      <w:spacing w:before="260" w:after="260" w:line="416" w:lineRule="atLeast"/>
      <w:outlineLvl w:val="2"/>
    </w:pPr>
    <w:rPr>
      <w:rFonts w:eastAsia="黑体"/>
      <w:b/>
      <w:bCs/>
      <w:szCs w:val="32"/>
    </w:rPr>
  </w:style>
  <w:style w:type="paragraph" w:styleId="6">
    <w:name w:val="heading 4"/>
    <w:basedOn w:val="1"/>
    <w:next w:val="1"/>
    <w:link w:val="56"/>
    <w:qFormat/>
    <w:uiPriority w:val="9"/>
    <w:pPr>
      <w:keepNext/>
      <w:keepLines/>
      <w:spacing w:before="280" w:after="290" w:line="376" w:lineRule="atLeast"/>
      <w:outlineLvl w:val="3"/>
    </w:pPr>
    <w:rPr>
      <w:rFonts w:ascii="等线 Light" w:hAnsi="等线 Light" w:eastAsia="等线 Light" w:cs="宋体"/>
      <w:b/>
      <w:bCs/>
      <w:sz w:val="28"/>
      <w:szCs w:val="28"/>
    </w:rPr>
  </w:style>
  <w:style w:type="paragraph" w:styleId="7">
    <w:name w:val="heading 5"/>
    <w:basedOn w:val="1"/>
    <w:next w:val="1"/>
    <w:link w:val="57"/>
    <w:qFormat/>
    <w:uiPriority w:val="9"/>
    <w:pPr>
      <w:keepNext/>
      <w:keepLines/>
      <w:spacing w:before="280" w:after="290" w:line="376" w:lineRule="atLeast"/>
      <w:outlineLvl w:val="4"/>
    </w:pPr>
    <w:rPr>
      <w:rFonts w:eastAsia="楷体"/>
      <w:b/>
      <w:bCs/>
      <w:szCs w:val="28"/>
    </w:rPr>
  </w:style>
  <w:style w:type="paragraph" w:styleId="8">
    <w:name w:val="heading 6"/>
    <w:basedOn w:val="1"/>
    <w:next w:val="1"/>
    <w:link w:val="58"/>
    <w:qFormat/>
    <w:uiPriority w:val="9"/>
    <w:pPr>
      <w:keepNext/>
      <w:keepLines/>
      <w:spacing w:before="240" w:after="64" w:line="320" w:lineRule="atLeast"/>
      <w:outlineLvl w:val="5"/>
    </w:pPr>
    <w:rPr>
      <w:rFonts w:ascii="等线 Light" w:hAnsi="等线 Light" w:cs="宋体"/>
      <w:b/>
      <w:bCs/>
    </w:rPr>
  </w:style>
  <w:style w:type="paragraph" w:styleId="9">
    <w:name w:val="heading 7"/>
    <w:basedOn w:val="1"/>
    <w:next w:val="1"/>
    <w:link w:val="59"/>
    <w:qFormat/>
    <w:uiPriority w:val="9"/>
    <w:pPr>
      <w:keepNext/>
      <w:keepLines/>
      <w:outlineLvl w:val="6"/>
    </w:pPr>
    <w:rPr>
      <w:rFonts w:eastAsia="黑体"/>
      <w:b/>
      <w:bCs/>
    </w:rPr>
  </w:style>
  <w:style w:type="paragraph" w:styleId="10">
    <w:name w:val="heading 8"/>
    <w:basedOn w:val="1"/>
    <w:next w:val="1"/>
    <w:link w:val="60"/>
    <w:qFormat/>
    <w:uiPriority w:val="9"/>
    <w:pPr>
      <w:keepNext/>
      <w:keepLines/>
      <w:spacing w:before="240" w:after="64" w:line="320" w:lineRule="atLeast"/>
      <w:outlineLvl w:val="7"/>
    </w:pPr>
    <w:rPr>
      <w:rFonts w:ascii="等线 Light" w:hAnsi="等线 Light" w:eastAsia="等线 Light" w:cs="宋体"/>
      <w:sz w:val="24"/>
    </w:rPr>
  </w:style>
  <w:style w:type="paragraph" w:styleId="11">
    <w:name w:val="heading 9"/>
    <w:basedOn w:val="1"/>
    <w:next w:val="1"/>
    <w:link w:val="61"/>
    <w:qFormat/>
    <w:uiPriority w:val="9"/>
    <w:pPr>
      <w:keepNext/>
      <w:keepLines/>
      <w:spacing w:before="240" w:after="64" w:line="320" w:lineRule="atLeast"/>
      <w:outlineLvl w:val="8"/>
    </w:pPr>
    <w:rPr>
      <w:rFonts w:ascii="等线 Light" w:hAnsi="等线 Light" w:eastAsia="等线 Light" w:cs="宋体"/>
      <w:sz w:val="21"/>
      <w:szCs w:val="21"/>
    </w:rPr>
  </w:style>
  <w:style w:type="character" w:default="1" w:styleId="25">
    <w:name w:val="Default Paragraph Font"/>
    <w:qFormat/>
    <w:uiPriority w:val="1"/>
  </w:style>
  <w:style w:type="table" w:default="1" w:styleId="24">
    <w:name w:val="Normal Table"/>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12">
    <w:name w:val="Normal Indent"/>
    <w:basedOn w:val="1"/>
    <w:next w:val="1"/>
    <w:qFormat/>
    <w:uiPriority w:val="0"/>
    <w:pPr>
      <w:spacing w:line="240" w:lineRule="auto"/>
      <w:ind w:firstLine="420"/>
    </w:pPr>
    <w:rPr>
      <w:rFonts w:ascii="Calibri" w:hAnsi="Calibri" w:eastAsia="宋体" w:cs="黑体"/>
      <w:sz w:val="21"/>
    </w:rPr>
  </w:style>
  <w:style w:type="paragraph" w:styleId="13">
    <w:name w:val="index 6"/>
    <w:basedOn w:val="1"/>
    <w:next w:val="1"/>
    <w:qFormat/>
    <w:uiPriority w:val="0"/>
    <w:pPr>
      <w:keepNext w:val="0"/>
      <w:keepLines w:val="0"/>
      <w:widowControl w:val="0"/>
      <w:suppressLineNumbers w:val="0"/>
      <w:ind w:left="2100"/>
      <w:jc w:val="both"/>
    </w:pPr>
    <w:rPr>
      <w:rFonts w:hint="default" w:ascii="Times New Roman" w:hAnsi="Times New Roman" w:eastAsia="方正仿宋_GBK" w:cs="Times New Roman"/>
      <w:kern w:val="2"/>
      <w:sz w:val="32"/>
      <w:szCs w:val="32"/>
      <w:lang w:val="en-US" w:eastAsia="zh-CN" w:bidi="ar"/>
    </w:rPr>
  </w:style>
  <w:style w:type="paragraph" w:styleId="14">
    <w:name w:val="Body Text"/>
    <w:basedOn w:val="1"/>
    <w:next w:val="15"/>
    <w:link w:val="62"/>
    <w:qFormat/>
    <w:uiPriority w:val="99"/>
    <w:pPr>
      <w:autoSpaceDE w:val="0"/>
      <w:autoSpaceDN w:val="0"/>
      <w:adjustRightInd w:val="0"/>
      <w:spacing w:line="240" w:lineRule="auto"/>
      <w:ind w:left="115" w:firstLine="0" w:firstLineChars="0"/>
      <w:jc w:val="left"/>
    </w:pPr>
    <w:rPr>
      <w:rFonts w:ascii="仿宋_GB2312" w:eastAsia="仿宋_GB2312" w:cs="仿宋_GB2312"/>
      <w:kern w:val="0"/>
      <w:sz w:val="28"/>
      <w:szCs w:val="28"/>
    </w:rPr>
  </w:style>
  <w:style w:type="paragraph" w:styleId="15">
    <w:name w:val="toc 5"/>
    <w:basedOn w:val="1"/>
    <w:next w:val="1"/>
    <w:qFormat/>
    <w:uiPriority w:val="39"/>
    <w:pPr>
      <w:ind w:left="800" w:leftChars="800"/>
    </w:pPr>
    <w:rPr>
      <w:rFonts w:ascii="Times New Roman" w:hAnsi="Times New Roman" w:eastAsia="方正仿宋_GBK" w:cs="Times New Roman"/>
      <w:sz w:val="32"/>
      <w:szCs w:val="24"/>
    </w:rPr>
  </w:style>
  <w:style w:type="paragraph" w:styleId="16">
    <w:name w:val="Plain Text"/>
    <w:basedOn w:val="1"/>
    <w:link w:val="52"/>
    <w:qFormat/>
    <w:uiPriority w:val="0"/>
    <w:pPr>
      <w:spacing w:line="240" w:lineRule="auto"/>
      <w:ind w:firstLine="0" w:firstLineChars="0"/>
    </w:pPr>
    <w:rPr>
      <w:rFonts w:ascii="宋体" w:hAnsi="Courier New" w:eastAsia="宋体"/>
      <w:sz w:val="21"/>
    </w:rPr>
  </w:style>
  <w:style w:type="paragraph" w:styleId="17">
    <w:name w:val="footer"/>
    <w:basedOn w:val="1"/>
    <w:link w:val="31"/>
    <w:qFormat/>
    <w:uiPriority w:val="99"/>
    <w:pPr>
      <w:tabs>
        <w:tab w:val="center" w:pos="4153"/>
        <w:tab w:val="right" w:pos="8306"/>
      </w:tabs>
      <w:snapToGrid w:val="0"/>
      <w:jc w:val="left"/>
    </w:pPr>
    <w:rPr>
      <w:sz w:val="18"/>
      <w:szCs w:val="18"/>
    </w:rPr>
  </w:style>
  <w:style w:type="paragraph" w:styleId="18">
    <w:name w:val="header"/>
    <w:basedOn w:val="1"/>
    <w:link w:val="30"/>
    <w:qFormat/>
    <w:uiPriority w:val="99"/>
    <w:pPr>
      <w:pBdr>
        <w:bottom w:val="single" w:color="auto" w:sz="6" w:space="1"/>
      </w:pBdr>
      <w:tabs>
        <w:tab w:val="center" w:pos="4153"/>
        <w:tab w:val="right" w:pos="8306"/>
      </w:tabs>
      <w:snapToGrid w:val="0"/>
    </w:pPr>
    <w:rPr>
      <w:rFonts w:ascii="等线" w:hAnsi="等线" w:eastAsia="等线" w:cs="宋体"/>
      <w:sz w:val="18"/>
      <w:szCs w:val="18"/>
    </w:rPr>
  </w:style>
  <w:style w:type="paragraph" w:styleId="19">
    <w:name w:val="toc 1"/>
    <w:basedOn w:val="1"/>
    <w:next w:val="1"/>
    <w:qFormat/>
    <w:uiPriority w:val="39"/>
    <w:rPr>
      <w:rFonts w:ascii="等线" w:hAnsi="等线" w:eastAsia="等线" w:cs="宋体"/>
      <w:szCs w:val="22"/>
    </w:rPr>
  </w:style>
  <w:style w:type="paragraph" w:styleId="20">
    <w:name w:val="Subtitle"/>
    <w:basedOn w:val="1"/>
    <w:next w:val="1"/>
    <w:link w:val="67"/>
    <w:qFormat/>
    <w:uiPriority w:val="11"/>
    <w:pPr>
      <w:spacing w:before="240" w:after="60" w:line="312" w:lineRule="atLeast"/>
      <w:jc w:val="center"/>
      <w:outlineLvl w:val="1"/>
    </w:pPr>
    <w:rPr>
      <w:rFonts w:ascii="等线" w:hAnsi="等线" w:eastAsia="等线" w:cs="宋体"/>
      <w:b/>
      <w:bCs/>
      <w:kern w:val="28"/>
      <w:szCs w:val="32"/>
    </w:rPr>
  </w:style>
  <w:style w:type="paragraph" w:styleId="21">
    <w:name w:val="toc 2"/>
    <w:basedOn w:val="1"/>
    <w:next w:val="1"/>
    <w:qFormat/>
    <w:uiPriority w:val="39"/>
    <w:pPr>
      <w:ind w:left="420" w:leftChars="200"/>
    </w:p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Title"/>
    <w:basedOn w:val="1"/>
    <w:next w:val="1"/>
    <w:link w:val="42"/>
    <w:qFormat/>
    <w:uiPriority w:val="10"/>
    <w:pPr>
      <w:spacing w:before="240" w:after="60"/>
      <w:outlineLvl w:val="0"/>
    </w:pPr>
    <w:rPr>
      <w:rFonts w:ascii="等线 Light" w:hAnsi="等线 Light" w:eastAsia="方正小标宋简体" w:cs="宋体"/>
      <w:b/>
      <w:bCs/>
      <w:sz w:val="44"/>
      <w:szCs w:val="32"/>
    </w:rPr>
  </w:style>
  <w:style w:type="character" w:styleId="26">
    <w:name w:val="Strong"/>
    <w:basedOn w:val="25"/>
    <w:qFormat/>
    <w:uiPriority w:val="22"/>
    <w:rPr>
      <w:bCs/>
    </w:rPr>
  </w:style>
  <w:style w:type="character" w:styleId="27">
    <w:name w:val="page number"/>
    <w:basedOn w:val="25"/>
    <w:qFormat/>
    <w:uiPriority w:val="0"/>
  </w:style>
  <w:style w:type="character" w:styleId="28">
    <w:name w:val="FollowedHyperlink"/>
    <w:basedOn w:val="25"/>
    <w:qFormat/>
    <w:uiPriority w:val="99"/>
    <w:rPr>
      <w:color w:val="954F72"/>
      <w:u w:val="single"/>
    </w:rPr>
  </w:style>
  <w:style w:type="character" w:styleId="29">
    <w:name w:val="Hyperlink"/>
    <w:basedOn w:val="25"/>
    <w:qFormat/>
    <w:uiPriority w:val="99"/>
    <w:rPr>
      <w:color w:val="0563C1"/>
      <w:u w:val="single"/>
    </w:rPr>
  </w:style>
  <w:style w:type="character" w:customStyle="1" w:styleId="30">
    <w:name w:val="页眉 Char"/>
    <w:basedOn w:val="25"/>
    <w:link w:val="18"/>
    <w:qFormat/>
    <w:uiPriority w:val="99"/>
    <w:rPr>
      <w:sz w:val="18"/>
      <w:szCs w:val="18"/>
    </w:rPr>
  </w:style>
  <w:style w:type="character" w:customStyle="1" w:styleId="31">
    <w:name w:val="页脚 Char"/>
    <w:basedOn w:val="25"/>
    <w:link w:val="17"/>
    <w:qFormat/>
    <w:uiPriority w:val="99"/>
    <w:rPr>
      <w:sz w:val="18"/>
      <w:szCs w:val="18"/>
    </w:rPr>
  </w:style>
  <w:style w:type="character" w:customStyle="1" w:styleId="32">
    <w:name w:val="未处理的提及1"/>
    <w:basedOn w:val="25"/>
    <w:qFormat/>
    <w:uiPriority w:val="99"/>
    <w:rPr>
      <w:color w:val="605E5C"/>
      <w:shd w:val="clear" w:color="auto" w:fill="E1DFDD"/>
    </w:rPr>
  </w:style>
  <w:style w:type="character" w:customStyle="1" w:styleId="33">
    <w:name w:val="标题 1 Char"/>
    <w:basedOn w:val="25"/>
    <w:link w:val="3"/>
    <w:qFormat/>
    <w:uiPriority w:val="9"/>
    <w:rPr>
      <w:rFonts w:ascii="Times New Roman" w:hAnsi="Times New Roman" w:eastAsia="方正小标宋简体"/>
      <w:bCs/>
      <w:kern w:val="44"/>
      <w:sz w:val="44"/>
      <w:szCs w:val="44"/>
    </w:rPr>
  </w:style>
  <w:style w:type="paragraph" w:customStyle="1" w:styleId="34">
    <w:name w:val="TOC Heading_cbe39bb7-55e0-4615-b5a2-985233915b8c"/>
    <w:basedOn w:val="3"/>
    <w:next w:val="1"/>
    <w:qFormat/>
    <w:uiPriority w:val="39"/>
    <w:pPr>
      <w:widowControl/>
      <w:spacing w:before="240" w:line="259" w:lineRule="auto"/>
      <w:jc w:val="left"/>
      <w:outlineLvl w:val="9"/>
    </w:pPr>
    <w:rPr>
      <w:rFonts w:ascii="等线 Light" w:hAnsi="等线 Light" w:eastAsia="等线 Light" w:cs="宋体"/>
      <w:b/>
      <w:bCs w:val="0"/>
      <w:color w:val="2F5597"/>
      <w:kern w:val="0"/>
      <w:sz w:val="32"/>
      <w:szCs w:val="32"/>
    </w:rPr>
  </w:style>
  <w:style w:type="paragraph" w:customStyle="1" w:styleId="35">
    <w:name w:val="正-文"/>
    <w:basedOn w:val="1"/>
    <w:link w:val="36"/>
    <w:qFormat/>
    <w:uiPriority w:val="0"/>
    <w:pPr>
      <w:ind w:firstLine="640"/>
    </w:pPr>
    <w:rPr>
      <w:rFonts w:cs="宋体"/>
      <w:szCs w:val="32"/>
    </w:rPr>
  </w:style>
  <w:style w:type="character" w:customStyle="1" w:styleId="36">
    <w:name w:val="正-文 字符"/>
    <w:basedOn w:val="25"/>
    <w:link w:val="35"/>
    <w:qFormat/>
    <w:uiPriority w:val="0"/>
    <w:rPr>
      <w:rFonts w:ascii="Times New Roman" w:hAnsi="Times New Roman" w:eastAsia="仿宋"/>
      <w:sz w:val="32"/>
      <w:szCs w:val="32"/>
    </w:rPr>
  </w:style>
  <w:style w:type="paragraph" w:customStyle="1" w:styleId="37">
    <w:name w:val="标-题-2"/>
    <w:basedOn w:val="35"/>
    <w:link w:val="38"/>
    <w:qFormat/>
    <w:uiPriority w:val="0"/>
    <w:pPr>
      <w:ind w:firstLine="592"/>
    </w:pPr>
    <w:rPr>
      <w:rFonts w:ascii="楷体" w:hAnsi="楷体" w:eastAsia="楷体"/>
      <w:b/>
    </w:rPr>
  </w:style>
  <w:style w:type="character" w:customStyle="1" w:styleId="38">
    <w:name w:val="标-题-2 字符"/>
    <w:basedOn w:val="36"/>
    <w:link w:val="37"/>
    <w:qFormat/>
    <w:uiPriority w:val="0"/>
    <w:rPr>
      <w:rFonts w:ascii="楷体" w:hAnsi="楷体" w:eastAsia="楷体"/>
      <w:b/>
      <w:sz w:val="32"/>
      <w:szCs w:val="32"/>
    </w:rPr>
  </w:style>
  <w:style w:type="paragraph" w:customStyle="1" w:styleId="39">
    <w:name w:val="大-标-题"/>
    <w:basedOn w:val="1"/>
    <w:link w:val="40"/>
    <w:qFormat/>
    <w:uiPriority w:val="0"/>
    <w:rPr>
      <w:rFonts w:ascii="方正小标宋简体" w:hAnsi="仿宋" w:eastAsia="方正小标宋简体" w:cs="宋体"/>
      <w:spacing w:val="20"/>
      <w:kern w:val="0"/>
      <w:sz w:val="44"/>
      <w:szCs w:val="44"/>
    </w:rPr>
  </w:style>
  <w:style w:type="character" w:customStyle="1" w:styleId="40">
    <w:name w:val="大-标-题 字符"/>
    <w:basedOn w:val="25"/>
    <w:link w:val="39"/>
    <w:qFormat/>
    <w:uiPriority w:val="0"/>
    <w:rPr>
      <w:rFonts w:ascii="方正小标宋简体" w:hAnsi="仿宋" w:eastAsia="方正小标宋简体"/>
      <w:spacing w:val="20"/>
      <w:kern w:val="0"/>
      <w:sz w:val="44"/>
      <w:szCs w:val="44"/>
    </w:rPr>
  </w:style>
  <w:style w:type="paragraph" w:customStyle="1" w:styleId="41">
    <w:name w:val="sp_title"/>
    <w:basedOn w:val="1"/>
    <w:qFormat/>
    <w:uiPriority w:val="0"/>
    <w:pPr>
      <w:widowControl/>
      <w:spacing w:before="100" w:beforeAutospacing="1" w:after="100" w:afterAutospacing="1"/>
      <w:jc w:val="left"/>
    </w:pPr>
    <w:rPr>
      <w:rFonts w:ascii="宋体" w:hAnsi="宋体" w:cs="宋体"/>
      <w:kern w:val="0"/>
      <w:sz w:val="24"/>
    </w:rPr>
  </w:style>
  <w:style w:type="character" w:customStyle="1" w:styleId="42">
    <w:name w:val="标题 Char"/>
    <w:basedOn w:val="25"/>
    <w:link w:val="23"/>
    <w:qFormat/>
    <w:uiPriority w:val="10"/>
    <w:rPr>
      <w:rFonts w:ascii="等线 Light" w:hAnsi="等线 Light" w:eastAsia="方正小标宋简体" w:cs="宋体"/>
      <w:b/>
      <w:bCs/>
      <w:sz w:val="44"/>
      <w:szCs w:val="32"/>
    </w:rPr>
  </w:style>
  <w:style w:type="paragraph" w:styleId="43">
    <w:name w:val="No Spacing"/>
    <w:qFormat/>
    <w:uiPriority w:val="99"/>
    <w:pPr>
      <w:widowControl w:val="0"/>
      <w:jc w:val="center"/>
    </w:pPr>
    <w:rPr>
      <w:rFonts w:ascii="等线" w:hAnsi="等线" w:eastAsia="楷体" w:cs="宋体"/>
      <w:kern w:val="2"/>
      <w:sz w:val="32"/>
      <w:szCs w:val="22"/>
      <w:lang w:val="en-US" w:eastAsia="zh-CN" w:bidi="ar-SA"/>
    </w:rPr>
  </w:style>
  <w:style w:type="character" w:customStyle="1" w:styleId="44">
    <w:name w:val="标题 2 Char"/>
    <w:basedOn w:val="25"/>
    <w:link w:val="4"/>
    <w:qFormat/>
    <w:uiPriority w:val="9"/>
    <w:rPr>
      <w:rFonts w:ascii="Times New Roman" w:hAnsi="Times New Roman" w:eastAsia="楷体" w:cs="宋体"/>
      <w:bCs/>
      <w:sz w:val="32"/>
      <w:szCs w:val="32"/>
    </w:rPr>
  </w:style>
  <w:style w:type="paragraph" w:customStyle="1" w:styleId="45">
    <w:name w:val="_Style 20"/>
    <w:basedOn w:val="1"/>
    <w:next w:val="1"/>
    <w:qFormat/>
    <w:uiPriority w:val="0"/>
    <w:pPr>
      <w:widowControl/>
      <w:pBdr>
        <w:bottom w:val="single" w:color="auto" w:sz="6" w:space="1"/>
      </w:pBdr>
      <w:spacing w:after="200" w:line="276" w:lineRule="auto"/>
    </w:pPr>
    <w:rPr>
      <w:rFonts w:ascii="Arial" w:hAnsi="Calibri" w:eastAsia="宋体" w:cs="黑体"/>
      <w:vanish/>
      <w:kern w:val="0"/>
      <w:sz w:val="16"/>
      <w:szCs w:val="22"/>
      <w:lang w:eastAsia="en-US" w:bidi="en-US"/>
    </w:rPr>
  </w:style>
  <w:style w:type="paragraph" w:customStyle="1" w:styleId="46">
    <w:name w:val="_Style 21"/>
    <w:basedOn w:val="1"/>
    <w:next w:val="1"/>
    <w:qFormat/>
    <w:uiPriority w:val="0"/>
    <w:pPr>
      <w:widowControl/>
      <w:pBdr>
        <w:top w:val="single" w:color="auto" w:sz="6" w:space="1"/>
      </w:pBdr>
      <w:spacing w:after="200" w:line="276" w:lineRule="auto"/>
    </w:pPr>
    <w:rPr>
      <w:rFonts w:ascii="Arial" w:hAnsi="Calibri" w:eastAsia="宋体" w:cs="黑体"/>
      <w:vanish/>
      <w:kern w:val="0"/>
      <w:sz w:val="16"/>
      <w:szCs w:val="22"/>
      <w:lang w:eastAsia="en-US" w:bidi="en-US"/>
    </w:rPr>
  </w:style>
  <w:style w:type="character" w:customStyle="1" w:styleId="47">
    <w:name w:val="fontstyle01"/>
    <w:qFormat/>
    <w:uiPriority w:val="0"/>
    <w:rPr>
      <w:rFonts w:ascii="仿宋_GB2312" w:hAnsi="仿宋_GB2312" w:eastAsia="仿宋_GB2312" w:cs="仿宋_GB2312"/>
      <w:color w:val="000000"/>
      <w:sz w:val="32"/>
      <w:szCs w:val="32"/>
    </w:rPr>
  </w:style>
  <w:style w:type="character" w:customStyle="1" w:styleId="48">
    <w:name w:val="bds_more"/>
    <w:basedOn w:val="25"/>
    <w:qFormat/>
    <w:uiPriority w:val="0"/>
  </w:style>
  <w:style w:type="paragraph" w:customStyle="1" w:styleId="49">
    <w:name w:val="sou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50">
    <w:name w:val="sou"/>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51">
    <w:name w:val="mt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52">
    <w:name w:val="纯文本 Char"/>
    <w:basedOn w:val="25"/>
    <w:link w:val="16"/>
    <w:qFormat/>
    <w:uiPriority w:val="0"/>
    <w:rPr>
      <w:rFonts w:ascii="宋体" w:hAnsi="Courier New" w:eastAsia="宋体" w:cs="Times New Roman"/>
      <w:szCs w:val="24"/>
    </w:rPr>
  </w:style>
  <w:style w:type="paragraph" w:customStyle="1" w:styleId="53">
    <w:name w:val="chulib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54">
    <w:name w:val="time"/>
    <w:basedOn w:val="25"/>
    <w:qFormat/>
    <w:uiPriority w:val="0"/>
  </w:style>
  <w:style w:type="character" w:customStyle="1" w:styleId="55">
    <w:name w:val="标题 3 Char"/>
    <w:basedOn w:val="25"/>
    <w:link w:val="5"/>
    <w:qFormat/>
    <w:uiPriority w:val="9"/>
    <w:rPr>
      <w:rFonts w:ascii="Times New Roman" w:hAnsi="Times New Roman" w:eastAsia="黑体" w:cs="Times New Roman"/>
      <w:b/>
      <w:bCs/>
      <w:sz w:val="32"/>
      <w:szCs w:val="32"/>
    </w:rPr>
  </w:style>
  <w:style w:type="character" w:customStyle="1" w:styleId="56">
    <w:name w:val="标题 4 Char"/>
    <w:basedOn w:val="25"/>
    <w:link w:val="6"/>
    <w:qFormat/>
    <w:uiPriority w:val="9"/>
    <w:rPr>
      <w:rFonts w:ascii="等线 Light" w:hAnsi="等线 Light" w:eastAsia="等线 Light" w:cs="宋体"/>
      <w:b/>
      <w:bCs/>
      <w:sz w:val="28"/>
      <w:szCs w:val="28"/>
    </w:rPr>
  </w:style>
  <w:style w:type="character" w:customStyle="1" w:styleId="57">
    <w:name w:val="标题 5 Char"/>
    <w:basedOn w:val="25"/>
    <w:link w:val="7"/>
    <w:qFormat/>
    <w:uiPriority w:val="9"/>
    <w:rPr>
      <w:rFonts w:ascii="Times New Roman" w:hAnsi="Times New Roman" w:eastAsia="楷体" w:cs="Times New Roman"/>
      <w:b/>
      <w:bCs/>
      <w:sz w:val="32"/>
      <w:szCs w:val="28"/>
    </w:rPr>
  </w:style>
  <w:style w:type="character" w:customStyle="1" w:styleId="58">
    <w:name w:val="标题 6 Char"/>
    <w:basedOn w:val="25"/>
    <w:link w:val="8"/>
    <w:qFormat/>
    <w:uiPriority w:val="9"/>
    <w:rPr>
      <w:rFonts w:ascii="等线 Light" w:hAnsi="等线 Light" w:eastAsia="仿宋" w:cs="宋体"/>
      <w:b/>
      <w:bCs/>
      <w:sz w:val="32"/>
      <w:szCs w:val="24"/>
    </w:rPr>
  </w:style>
  <w:style w:type="character" w:customStyle="1" w:styleId="59">
    <w:name w:val="标题 7 Char"/>
    <w:basedOn w:val="25"/>
    <w:link w:val="9"/>
    <w:qFormat/>
    <w:uiPriority w:val="9"/>
    <w:rPr>
      <w:rFonts w:ascii="Times New Roman" w:hAnsi="Times New Roman" w:eastAsia="黑体" w:cs="Times New Roman"/>
      <w:b/>
      <w:bCs/>
      <w:sz w:val="32"/>
      <w:szCs w:val="24"/>
    </w:rPr>
  </w:style>
  <w:style w:type="character" w:customStyle="1" w:styleId="60">
    <w:name w:val="标题 8 Char"/>
    <w:basedOn w:val="25"/>
    <w:link w:val="10"/>
    <w:qFormat/>
    <w:uiPriority w:val="9"/>
    <w:rPr>
      <w:rFonts w:ascii="等线 Light" w:hAnsi="等线 Light" w:eastAsia="等线 Light" w:cs="宋体"/>
      <w:sz w:val="24"/>
      <w:szCs w:val="24"/>
    </w:rPr>
  </w:style>
  <w:style w:type="character" w:customStyle="1" w:styleId="61">
    <w:name w:val="标题 9 Char"/>
    <w:basedOn w:val="25"/>
    <w:link w:val="11"/>
    <w:qFormat/>
    <w:uiPriority w:val="9"/>
    <w:rPr>
      <w:rFonts w:ascii="等线 Light" w:hAnsi="等线 Light" w:eastAsia="等线 Light" w:cs="宋体"/>
      <w:szCs w:val="21"/>
    </w:rPr>
  </w:style>
  <w:style w:type="character" w:customStyle="1" w:styleId="62">
    <w:name w:val="正文文本 Char"/>
    <w:basedOn w:val="25"/>
    <w:link w:val="14"/>
    <w:qFormat/>
    <w:uiPriority w:val="99"/>
    <w:rPr>
      <w:rFonts w:ascii="仿宋_GB2312" w:hAnsi="Times New Roman" w:eastAsia="仿宋_GB2312" w:cs="仿宋_GB2312"/>
      <w:kern w:val="0"/>
      <w:sz w:val="28"/>
      <w:szCs w:val="28"/>
    </w:rPr>
  </w:style>
  <w:style w:type="paragraph" w:styleId="63">
    <w:name w:val="List Paragraph"/>
    <w:basedOn w:val="1"/>
    <w:qFormat/>
    <w:uiPriority w:val="1"/>
    <w:pPr>
      <w:autoSpaceDE w:val="0"/>
      <w:autoSpaceDN w:val="0"/>
      <w:adjustRightInd w:val="0"/>
      <w:spacing w:line="240" w:lineRule="auto"/>
      <w:ind w:firstLine="0" w:firstLineChars="0"/>
      <w:jc w:val="left"/>
    </w:pPr>
    <w:rPr>
      <w:rFonts w:eastAsia="等线"/>
      <w:kern w:val="0"/>
      <w:sz w:val="24"/>
    </w:rPr>
  </w:style>
  <w:style w:type="paragraph" w:customStyle="1" w:styleId="64">
    <w:name w:val="Table Paragraph"/>
    <w:basedOn w:val="1"/>
    <w:qFormat/>
    <w:uiPriority w:val="1"/>
    <w:pPr>
      <w:autoSpaceDE w:val="0"/>
      <w:autoSpaceDN w:val="0"/>
      <w:adjustRightInd w:val="0"/>
      <w:spacing w:line="240" w:lineRule="auto"/>
      <w:ind w:firstLine="0" w:firstLineChars="0"/>
      <w:jc w:val="left"/>
    </w:pPr>
    <w:rPr>
      <w:rFonts w:eastAsia="等线"/>
      <w:kern w:val="0"/>
      <w:sz w:val="24"/>
    </w:rPr>
  </w:style>
  <w:style w:type="paragraph" w:customStyle="1" w:styleId="65">
    <w:name w:val="ne-p"/>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66">
    <w:name w:val="ne-text"/>
    <w:basedOn w:val="25"/>
    <w:qFormat/>
    <w:uiPriority w:val="0"/>
  </w:style>
  <w:style w:type="character" w:customStyle="1" w:styleId="67">
    <w:name w:val="副标题 Char"/>
    <w:basedOn w:val="25"/>
    <w:link w:val="20"/>
    <w:qFormat/>
    <w:uiPriority w:val="11"/>
    <w:rPr>
      <w:b/>
      <w:bCs/>
      <w:kern w:val="28"/>
      <w:sz w:val="32"/>
      <w:szCs w:val="32"/>
    </w:rPr>
  </w:style>
  <w:style w:type="character" w:customStyle="1" w:styleId="68">
    <w:name w:val="Book Title_767a1bcd-2518-4f67-ae7e-548678720c63"/>
    <w:basedOn w:val="25"/>
    <w:qFormat/>
    <w:uiPriority w:val="33"/>
    <w:rPr>
      <w:b/>
      <w:bCs/>
      <w:i/>
      <w:iCs/>
      <w:spacing w:val="5"/>
    </w:rPr>
  </w:style>
  <w:style w:type="paragraph" w:customStyle="1" w:styleId="69">
    <w:name w:val="msonormal"/>
    <w:basedOn w:val="1"/>
    <w:qFormat/>
    <w:uiPriority w:val="99"/>
    <w:pPr>
      <w:widowControl/>
      <w:spacing w:before="100" w:beforeAutospacing="1" w:after="100" w:afterAutospacing="1" w:line="240" w:lineRule="auto"/>
      <w:ind w:firstLine="0" w:firstLineChars="0"/>
      <w:jc w:val="left"/>
    </w:pPr>
    <w:rPr>
      <w:rFonts w:ascii="PMingLiU" w:hAnsi="PMingLiU" w:eastAsia="PMingLiU" w:cs="PMingLiU"/>
      <w:kern w:val="0"/>
      <w:lang w:eastAsia="zh-TW"/>
    </w:rPr>
  </w:style>
  <w:style w:type="character" w:customStyle="1" w:styleId="70">
    <w:name w:val="Unresolved Mention"/>
    <w:basedOn w:val="25"/>
    <w:qFormat/>
    <w:uiPriority w:val="99"/>
    <w:rPr>
      <w:color w:val="605E5C"/>
      <w:shd w:val="clear" w:color="auto" w:fill="E1DFDD"/>
    </w:rPr>
  </w:style>
  <w:style w:type="paragraph" w:customStyle="1" w:styleId="71">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7016</Words>
  <Characters>7456</Characters>
  <Paragraphs>53</Paragraphs>
  <TotalTime>34</TotalTime>
  <ScaleCrop>false</ScaleCrop>
  <LinksUpToDate>false</LinksUpToDate>
  <CharactersWithSpaces>7456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2021-10-02T08:11:00Z</dcterms:created>
  <dc:creator>tanshun</dc:creator>
  <cp:lastModifiedBy>温星星</cp:lastModifiedBy>
  <cp:lastPrinted>2025-01-20T17:21:00Z</cp:lastPrinted>
  <dcterms:modified xsi:type="dcterms:W3CDTF">2025-03-26T06:50:36Z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3BF80E06B95546E3BACB5555AEDDD244_13</vt:lpwstr>
  </property>
  <property fmtid="{D5CDD505-2E9C-101B-9397-08002B2CF9AE}" pid="4" name="KSOTemplateDocerSaveRecord">
    <vt:lpwstr>eyJoZGlkIjoiZDRlMTI0ZmZkNWVkNDk2ZTg4NWYwOTQyMjQxMmY4NGEiLCJ1c2VySWQiOiIxMzIzODcwMDMzIn0=</vt:lpwstr>
  </property>
</Properties>
</file>