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ascii="方正小标宋_GBK" w:hAnsi="方正小标宋_GBK" w:eastAsia="方正小标宋_GBK" w:cs="方正小标宋_GBK"/>
          <w:spacing w:val="23"/>
          <w:sz w:val="44"/>
          <w:szCs w:val="44"/>
        </w:rPr>
      </w:pPr>
      <w:bookmarkStart w:id="0" w:name="_GoBack"/>
      <w:r>
        <w:rPr>
          <w:rFonts w:hint="eastAsia" w:ascii="方正小标宋_GBK" w:hAnsi="方正小标宋_GBK" w:eastAsia="方正小标宋_GBK" w:cs="方正小标宋_GBK"/>
          <w:spacing w:val="23"/>
          <w:sz w:val="44"/>
          <w:szCs w:val="44"/>
        </w:rPr>
        <w:t>丰都县高家镇人民政府</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ascii="方正小标宋_GBK" w:hAnsi="方正小标宋_GBK" w:eastAsia="方正小标宋_GBK" w:cs="方正小标宋_GBK"/>
          <w:spacing w:val="23"/>
          <w:sz w:val="44"/>
          <w:szCs w:val="44"/>
        </w:rPr>
      </w:pPr>
      <w:r>
        <w:rPr>
          <w:rFonts w:hint="eastAsia" w:ascii="方正小标宋_GBK" w:hAnsi="方正小标宋_GBK" w:eastAsia="方正小标宋_GBK" w:cs="方正小标宋_GBK"/>
          <w:spacing w:val="23"/>
          <w:sz w:val="44"/>
          <w:szCs w:val="44"/>
        </w:rPr>
        <w:t>2024年法治政府建设情况报告</w:t>
      </w:r>
    </w:p>
    <w:bookmarkEnd w:id="0"/>
    <w:p>
      <w:pPr>
        <w:pStyle w:val="2"/>
        <w:spacing w:line="600" w:lineRule="exact"/>
        <w:ind w:firstLine="420" w:firstLineChars="200"/>
        <w:rPr>
          <w:rFonts w:ascii="Times New Roman" w:hAnsi="Times New Roman" w:cs="Times New Roman"/>
        </w:rPr>
      </w:pPr>
    </w:p>
    <w:p>
      <w:pPr>
        <w:adjustRightInd w:val="0"/>
        <w:snapToGrid w:val="0"/>
        <w:spacing w:line="60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2024年，在县委、县政府的</w:t>
      </w:r>
      <w:r>
        <w:rPr>
          <w:rFonts w:hint="eastAsia" w:ascii="Times New Roman" w:hAnsi="Times New Roman" w:eastAsia="方正仿宋_GBK" w:cs="Times New Roman"/>
          <w:bCs/>
          <w:sz w:val="32"/>
          <w:szCs w:val="32"/>
        </w:rPr>
        <w:t>坚强</w:t>
      </w:r>
      <w:r>
        <w:rPr>
          <w:rFonts w:ascii="Times New Roman" w:hAnsi="Times New Roman" w:eastAsia="方正仿宋_GBK" w:cs="Times New Roman"/>
          <w:bCs/>
          <w:sz w:val="32"/>
          <w:szCs w:val="32"/>
        </w:rPr>
        <w:t>领导下，</w:t>
      </w:r>
      <w:r>
        <w:rPr>
          <w:rFonts w:hint="eastAsia" w:ascii="Times New Roman" w:hAnsi="Times New Roman" w:eastAsia="方正仿宋_GBK" w:cs="Times New Roman"/>
          <w:bCs/>
          <w:sz w:val="32"/>
          <w:szCs w:val="32"/>
        </w:rPr>
        <w:t>高家镇</w:t>
      </w:r>
      <w:r>
        <w:rPr>
          <w:rFonts w:ascii="Times New Roman" w:hAnsi="Times New Roman" w:eastAsia="方正仿宋_GBK" w:cs="Times New Roman"/>
          <w:bCs/>
          <w:sz w:val="32"/>
          <w:szCs w:val="32"/>
        </w:rPr>
        <w:t>认真开展法治政府建设的各项工作，创新和提升社会管理服务水平，不断提高依法决策、依法管理、依法行政水平，进一步推进法治政府建设。</w:t>
      </w:r>
    </w:p>
    <w:p>
      <w:pPr>
        <w:adjustRightInd w:val="0"/>
        <w:snapToGrid w:val="0"/>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一、2024年推进法治政府建设的主要举措和成效</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2024年，高家镇坚持以习近平新时代中国特色社会主义思想为指导，深入学习</w:t>
      </w:r>
      <w:r>
        <w:rPr>
          <w:rFonts w:hint="eastAsia" w:ascii="Times New Roman" w:hAnsi="Times New Roman" w:eastAsia="方正仿宋_GBK" w:cs="Times New Roman"/>
          <w:sz w:val="32"/>
          <w:szCs w:val="32"/>
        </w:rPr>
        <w:t>领会</w:t>
      </w:r>
      <w:r>
        <w:rPr>
          <w:rFonts w:ascii="Times New Roman" w:hAnsi="Times New Roman" w:eastAsia="方正仿宋_GBK" w:cs="Times New Roman"/>
          <w:sz w:val="32"/>
          <w:szCs w:val="32"/>
        </w:rPr>
        <w:t>习近平法治思想，全面贯彻落实党的二十大</w:t>
      </w:r>
      <w:r>
        <w:rPr>
          <w:rFonts w:hint="eastAsia" w:ascii="Times New Roman" w:hAnsi="Times New Roman" w:eastAsia="方正仿宋_GBK" w:cs="Times New Roman"/>
          <w:sz w:val="32"/>
          <w:szCs w:val="32"/>
          <w:lang w:val="en-US" w:eastAsia="zh-CN"/>
        </w:rPr>
        <w:t>和</w:t>
      </w:r>
      <w:r>
        <w:rPr>
          <w:rFonts w:ascii="Times New Roman" w:hAnsi="Times New Roman" w:eastAsia="方正仿宋_GBK" w:cs="Times New Roman"/>
          <w:sz w:val="32"/>
          <w:szCs w:val="32"/>
        </w:rPr>
        <w:t>二十届二中、三中全会精神，认真贯彻落实习近平总书记视察重庆重要讲话、重要指示精神，认真落实市委六届历次全会各项部署和县委依</w:t>
      </w:r>
      <w:r>
        <w:rPr>
          <w:rFonts w:hint="eastAsia" w:ascii="Times New Roman" w:hAnsi="Times New Roman" w:eastAsia="方正仿宋_GBK" w:cs="Times New Roman"/>
          <w:sz w:val="32"/>
          <w:szCs w:val="32"/>
        </w:rPr>
        <w:t>法治县</w:t>
      </w:r>
      <w:r>
        <w:rPr>
          <w:rFonts w:ascii="Times New Roman" w:hAnsi="Times New Roman" w:eastAsia="方正仿宋_GBK" w:cs="Times New Roman"/>
          <w:sz w:val="32"/>
          <w:szCs w:val="32"/>
        </w:rPr>
        <w:t>工作要求，</w:t>
      </w:r>
      <w:r>
        <w:rPr>
          <w:rFonts w:hint="eastAsia" w:ascii="Times New Roman" w:hAnsi="Times New Roman" w:eastAsia="方正仿宋_GBK" w:cs="Times New Roman"/>
          <w:sz w:val="32"/>
          <w:szCs w:val="32"/>
        </w:rPr>
        <w:t>增强“四个意识”、坚定“四个自信”、做到“两个维护”</w:t>
      </w:r>
      <w:r>
        <w:rPr>
          <w:rFonts w:ascii="Times New Roman" w:hAnsi="Times New Roman" w:eastAsia="方正仿宋_GBK" w:cs="Times New Roman"/>
          <w:sz w:val="32"/>
          <w:szCs w:val="32"/>
        </w:rPr>
        <w:t>，加强党对全面依法治镇的领导，加强宪法法律贯彻实施和监督，维护宪法和法律权威，加强社会公平正义法治保障体系建设，发挥法治在推进国家治理体系和治理能力现代化中的重要作用，为推进高家镇经济社会高质量发展提供</w:t>
      </w:r>
      <w:r>
        <w:rPr>
          <w:rFonts w:hint="eastAsia" w:ascii="Times New Roman" w:hAnsi="Times New Roman" w:eastAsia="方正仿宋_GBK" w:cs="Times New Roman"/>
          <w:sz w:val="32"/>
          <w:szCs w:val="32"/>
        </w:rPr>
        <w:t>了</w:t>
      </w:r>
      <w:r>
        <w:rPr>
          <w:rFonts w:ascii="Times New Roman" w:hAnsi="Times New Roman" w:eastAsia="方正仿宋_GBK" w:cs="Times New Roman"/>
          <w:sz w:val="32"/>
          <w:szCs w:val="32"/>
        </w:rPr>
        <w:t>有力</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法治保障。</w:t>
      </w:r>
    </w:p>
    <w:p>
      <w:pPr>
        <w:spacing w:line="600"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（一）强化执法</w:t>
      </w:r>
      <w:r>
        <w:rPr>
          <w:rFonts w:ascii="Times New Roman" w:hAnsi="Times New Roman" w:eastAsia="方正楷体_GBK" w:cs="Times New Roman"/>
          <w:sz w:val="32"/>
          <w:szCs w:val="32"/>
        </w:rPr>
        <w:t>规范</w:t>
      </w:r>
      <w:r>
        <w:rPr>
          <w:rFonts w:ascii="Times New Roman" w:hAnsi="Times New Roman" w:eastAsia="方正楷体_GBK" w:cs="Times New Roman"/>
          <w:color w:val="000000"/>
          <w:sz w:val="32"/>
          <w:szCs w:val="32"/>
          <w:shd w:val="clear" w:color="auto" w:fill="FFFFFF"/>
        </w:rPr>
        <w:t>，</w:t>
      </w:r>
      <w:r>
        <w:rPr>
          <w:rFonts w:hint="eastAsia" w:ascii="Times New Roman" w:hAnsi="Times New Roman" w:eastAsia="方正楷体_GBK" w:cs="Times New Roman"/>
          <w:color w:val="000000"/>
          <w:sz w:val="32"/>
          <w:szCs w:val="32"/>
          <w:shd w:val="clear" w:color="auto" w:fill="FFFFFF"/>
        </w:rPr>
        <w:t>优化</w:t>
      </w:r>
      <w:r>
        <w:rPr>
          <w:rFonts w:ascii="Times New Roman" w:hAnsi="Times New Roman" w:eastAsia="方正楷体_GBK" w:cs="Times New Roman"/>
          <w:color w:val="000000"/>
          <w:sz w:val="32"/>
          <w:szCs w:val="32"/>
          <w:shd w:val="clear" w:color="auto" w:fill="FFFFFF"/>
        </w:rPr>
        <w:t>营商环境。</w:t>
      </w:r>
      <w:r>
        <w:rPr>
          <w:rFonts w:hint="eastAsia" w:ascii="Times New Roman" w:hAnsi="Times New Roman" w:eastAsia="方正仿宋_GBK" w:cs="Times New Roman"/>
          <w:b/>
          <w:bCs/>
          <w:sz w:val="32"/>
          <w:szCs w:val="32"/>
        </w:rPr>
        <w:t>一是规范执法强约束。</w:t>
      </w:r>
      <w:r>
        <w:rPr>
          <w:rFonts w:hint="eastAsia" w:ascii="Times New Roman" w:hAnsi="Times New Roman" w:eastAsia="方正仿宋_GBK" w:cs="Times New Roman"/>
          <w:sz w:val="32"/>
          <w:szCs w:val="32"/>
        </w:rPr>
        <w:t>严格落实行政执法“三项制度”，出台《高家镇行政执法“三项制度”》，组织开展专题培训2次，执法集中讨论2次，参加县级组织行政执法培训班3期，组织网络培训学习超80学时。行政执法实现“应公开尽公开”，对重大执法案件进行法制审核，实现执法活动全流程管理、全过程监督。</w:t>
      </w:r>
      <w:r>
        <w:rPr>
          <w:rFonts w:hint="eastAsia" w:ascii="Times New Roman" w:hAnsi="Times New Roman" w:eastAsia="方正仿宋_GBK" w:cs="Times New Roman"/>
          <w:b/>
          <w:bCs/>
          <w:sz w:val="32"/>
          <w:szCs w:val="32"/>
        </w:rPr>
        <w:t>二</w:t>
      </w:r>
      <w:r>
        <w:rPr>
          <w:rFonts w:ascii="Times New Roman" w:hAnsi="Times New Roman" w:eastAsia="方正仿宋_GBK" w:cs="Times New Roman"/>
          <w:b/>
          <w:bCs/>
          <w:sz w:val="32"/>
          <w:szCs w:val="32"/>
        </w:rPr>
        <w:t>是</w:t>
      </w:r>
      <w:r>
        <w:rPr>
          <w:rFonts w:hint="eastAsia" w:ascii="Times New Roman" w:hAnsi="Times New Roman" w:eastAsia="方正仿宋_GBK" w:cs="Times New Roman"/>
          <w:b/>
          <w:bCs/>
          <w:sz w:val="32"/>
          <w:szCs w:val="32"/>
        </w:rPr>
        <w:t>优化审批提效率。</w:t>
      </w:r>
      <w:r>
        <w:rPr>
          <w:rFonts w:ascii="Times New Roman" w:hAnsi="Times New Roman" w:eastAsia="方正仿宋_GBK" w:cs="Times New Roman"/>
          <w:sz w:val="32"/>
          <w:szCs w:val="32"/>
        </w:rPr>
        <w:t>围绕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减材料、缩时间、降成本、提效率</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目标要求，加快应用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渝快办</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政务服务平台和</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渝快政</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协同办公平台，深化</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一窗综办</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改革，持续推广</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全渝通办</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政务服务品牌，</w:t>
      </w:r>
      <w:r>
        <w:rPr>
          <w:rFonts w:hint="eastAsia" w:ascii="Times New Roman" w:hAnsi="Times New Roman" w:eastAsia="方正仿宋_GBK" w:cs="Times New Roman"/>
          <w:sz w:val="32"/>
          <w:szCs w:val="32"/>
        </w:rPr>
        <w:t>完成简易程序案件办理25件，完成企业“综合查一次”任务1次，为</w:t>
      </w:r>
      <w:r>
        <w:rPr>
          <w:rFonts w:ascii="Times New Roman" w:hAnsi="Times New Roman" w:eastAsia="方正仿宋_GBK" w:cs="Times New Roman"/>
          <w:sz w:val="32"/>
          <w:szCs w:val="32"/>
        </w:rPr>
        <w:t>企业发展赋能</w:t>
      </w:r>
      <w:r>
        <w:rPr>
          <w:rFonts w:hint="eastAsia" w:ascii="Times New Roman" w:hAnsi="Times New Roman" w:eastAsia="方正仿宋_GBK" w:cs="Times New Roman"/>
          <w:sz w:val="32"/>
          <w:szCs w:val="32"/>
        </w:rPr>
        <w:t>增效</w:t>
      </w:r>
      <w:r>
        <w:rPr>
          <w:rFonts w:ascii="Times New Roman" w:hAnsi="Times New Roman" w:eastAsia="方正仿宋_GBK" w:cs="Times New Roman"/>
          <w:sz w:val="32"/>
          <w:szCs w:val="32"/>
        </w:rPr>
        <w:t>。</w:t>
      </w:r>
      <w:r>
        <w:rPr>
          <w:rFonts w:ascii="Times New Roman" w:hAnsi="Times New Roman" w:eastAsia="方正仿宋_GBK" w:cs="Times New Roman"/>
          <w:b/>
          <w:bCs/>
          <w:sz w:val="32"/>
          <w:szCs w:val="32"/>
        </w:rPr>
        <w:t>三是健全</w:t>
      </w:r>
      <w:r>
        <w:rPr>
          <w:rFonts w:hint="eastAsia" w:ascii="Times New Roman" w:hAnsi="Times New Roman" w:eastAsia="方正仿宋_GBK" w:cs="Times New Roman"/>
          <w:b/>
          <w:bCs/>
          <w:sz w:val="32"/>
          <w:szCs w:val="32"/>
        </w:rPr>
        <w:t>体系优</w:t>
      </w:r>
      <w:r>
        <w:rPr>
          <w:rFonts w:ascii="Times New Roman" w:hAnsi="Times New Roman" w:eastAsia="方正仿宋_GBK" w:cs="Times New Roman"/>
          <w:b/>
          <w:bCs/>
          <w:sz w:val="32"/>
          <w:szCs w:val="32"/>
        </w:rPr>
        <w:t>服务。</w:t>
      </w:r>
      <w:r>
        <w:rPr>
          <w:rFonts w:hint="eastAsia" w:ascii="Times New Roman" w:hAnsi="Times New Roman" w:eastAsia="方正仿宋_GBK" w:cs="Times New Roman"/>
          <w:sz w:val="32"/>
          <w:szCs w:val="32"/>
        </w:rPr>
        <w:t>对涉企政策文件进行全面清理排查，不存在不平等对待企业的行政规范性文件和相关政策文件。</w:t>
      </w:r>
      <w:r>
        <w:rPr>
          <w:rFonts w:ascii="Times New Roman" w:hAnsi="Times New Roman" w:eastAsia="方正仿宋_GBK" w:cs="Times New Roman"/>
          <w:sz w:val="32"/>
          <w:szCs w:val="32"/>
        </w:rPr>
        <w:t>加强镇公共法律服务工作站和村（社区）公共法律服务工作室建设，整合律师、公证、司法鉴定、法律援助等法律服务资源</w:t>
      </w:r>
      <w:r>
        <w:rPr>
          <w:rFonts w:hint="eastAsia" w:ascii="Times New Roman" w:hAnsi="Times New Roman" w:eastAsia="方正仿宋_GBK" w:cs="Times New Roman"/>
          <w:sz w:val="32"/>
          <w:szCs w:val="32"/>
        </w:rPr>
        <w:t>。积极推进律师调解等协同调解体系建设，为优化营商环境，推动经济高质量发展提供</w:t>
      </w:r>
      <w:r>
        <w:rPr>
          <w:rFonts w:ascii="Times New Roman" w:hAnsi="Times New Roman" w:eastAsia="方正仿宋_GBK" w:cs="Times New Roman"/>
          <w:sz w:val="32"/>
          <w:szCs w:val="32"/>
        </w:rPr>
        <w:t>便捷、高效的法律服务。</w:t>
      </w:r>
    </w:p>
    <w:p>
      <w:pPr>
        <w:pStyle w:val="5"/>
        <w:spacing w:before="100" w:line="600" w:lineRule="exact"/>
        <w:ind w:left="113" w:right="249"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（二）强化综合治理</w:t>
      </w:r>
      <w:r>
        <w:rPr>
          <w:rFonts w:ascii="Times New Roman" w:hAnsi="Times New Roman" w:eastAsia="方正楷体_GBK" w:cs="Times New Roman"/>
          <w:sz w:val="32"/>
          <w:szCs w:val="32"/>
        </w:rPr>
        <w:drawing>
          <wp:anchor distT="0" distB="0" distL="114300" distR="114300" simplePos="0" relativeHeight="251659264" behindDoc="1" locked="0" layoutInCell="1" hidden="1" allowOverlap="1">
            <wp:simplePos x="0" y="0"/>
            <wp:positionH relativeFrom="page">
              <wp:posOffset>2747645</wp:posOffset>
            </wp:positionH>
            <wp:positionV relativeFrom="paragraph">
              <wp:posOffset>2963545</wp:posOffset>
            </wp:positionV>
            <wp:extent cx="2058035" cy="2019935"/>
            <wp:effectExtent l="0" t="0" r="0" b="0"/>
            <wp:wrapNone/>
            <wp:docPr id="4" name="image1.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hidden="1"/>
                    <pic:cNvPicPr>
                      <a:picLocks noChangeAspect="1"/>
                    </pic:cNvPicPr>
                  </pic:nvPicPr>
                  <pic:blipFill>
                    <a:blip r:embed="rId4"/>
                    <a:stretch>
                      <a:fillRect/>
                    </a:stretch>
                  </pic:blipFill>
                  <pic:spPr>
                    <a:xfrm>
                      <a:off x="0" y="0"/>
                      <a:ext cx="2058035" cy="2019935"/>
                    </a:xfrm>
                    <a:prstGeom prst="rect">
                      <a:avLst/>
                    </a:prstGeom>
                    <a:noFill/>
                    <a:ln>
                      <a:noFill/>
                    </a:ln>
                  </pic:spPr>
                </pic:pic>
              </a:graphicData>
            </a:graphic>
          </wp:anchor>
        </w:drawing>
      </w: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营造安全稳定社会</w:t>
      </w:r>
      <w:r>
        <w:rPr>
          <w:rFonts w:ascii="Times New Roman" w:hAnsi="Times New Roman" w:eastAsia="方正楷体_GBK" w:cs="Times New Roman"/>
          <w:sz w:val="32"/>
          <w:szCs w:val="32"/>
        </w:rPr>
        <w:t>环境</w:t>
      </w:r>
      <w:r>
        <w:rPr>
          <w:rFonts w:hint="eastAsia" w:ascii="Times New Roman" w:hAnsi="Times New Roman" w:eastAsia="方正楷体_GBK" w:cs="Times New Roman"/>
          <w:sz w:val="32"/>
          <w:szCs w:val="32"/>
        </w:rPr>
        <w:t>。</w:t>
      </w:r>
      <w:r>
        <w:rPr>
          <w:rFonts w:hint="eastAsia" w:ascii="Times New Roman" w:hAnsi="Times New Roman" w:eastAsia="方正仿宋_GBK" w:cs="Times New Roman"/>
          <w:b/>
          <w:bCs/>
          <w:sz w:val="32"/>
          <w:szCs w:val="32"/>
        </w:rPr>
        <w:t>一是</w:t>
      </w:r>
      <w:r>
        <w:rPr>
          <w:rFonts w:ascii="Times New Roman" w:hAnsi="Times New Roman" w:eastAsia="方正仿宋_GBK" w:cs="Times New Roman"/>
          <w:b/>
          <w:bCs/>
          <w:sz w:val="32"/>
          <w:szCs w:val="32"/>
        </w:rPr>
        <w:t>加强依法接访工作，提升基层治理硬实力。</w:t>
      </w:r>
      <w:r>
        <w:rPr>
          <w:rFonts w:ascii="Times New Roman" w:hAnsi="Times New Roman" w:eastAsia="方正仿宋_GBK" w:cs="Times New Roman"/>
          <w:sz w:val="32"/>
          <w:szCs w:val="32"/>
        </w:rPr>
        <w:t>健全了《高家镇内部流转办理机制》《高家镇引发信访问题终身追责实施细则》等机制，打造信访接访室，规范了信访接访秩序；按照</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三到位一处理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信访工作要求，推行</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四化</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工作法，制定信访法治化</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路线图</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，信访重点积案已化解3件，有力地维护了全镇稳定。</w:t>
      </w:r>
      <w:r>
        <w:rPr>
          <w:rFonts w:hint="eastAsia" w:ascii="Times New Roman" w:hAnsi="Times New Roman" w:eastAsia="方正仿宋_GBK" w:cs="Times New Roman"/>
          <w:b/>
          <w:bCs/>
          <w:sz w:val="32"/>
          <w:szCs w:val="32"/>
        </w:rPr>
        <w:t>二是</w:t>
      </w:r>
      <w:r>
        <w:rPr>
          <w:rFonts w:ascii="Times New Roman" w:hAnsi="Times New Roman" w:eastAsia="方正仿宋_GBK" w:cs="Times New Roman"/>
          <w:b/>
          <w:bCs/>
          <w:sz w:val="32"/>
          <w:szCs w:val="32"/>
        </w:rPr>
        <w:t>践行</w:t>
      </w:r>
      <w:r>
        <w:rPr>
          <w:rFonts w:hint="eastAsia" w:ascii="Times New Roman" w:hAnsi="Times New Roman" w:eastAsia="方正仿宋_GBK" w:cs="Times New Roman"/>
          <w:b/>
          <w:bCs/>
          <w:sz w:val="32"/>
          <w:szCs w:val="32"/>
        </w:rPr>
        <w:t>“枫桥经验”</w:t>
      </w:r>
      <w:r>
        <w:rPr>
          <w:rFonts w:ascii="Times New Roman" w:hAnsi="Times New Roman" w:eastAsia="方正仿宋_GBK" w:cs="Times New Roman"/>
          <w:b/>
          <w:bCs/>
          <w:sz w:val="32"/>
          <w:szCs w:val="32"/>
        </w:rPr>
        <w:t>，提升基层治理凝聚力。在全镇</w:t>
      </w:r>
      <w:r>
        <w:rPr>
          <w:rFonts w:ascii="Times New Roman" w:hAnsi="Times New Roman" w:eastAsia="方正仿宋_GBK" w:cs="Times New Roman"/>
          <w:sz w:val="32"/>
          <w:szCs w:val="32"/>
        </w:rPr>
        <w:t>推广建国村试点经验，在村（社区）建立矛调工作站11个、</w:t>
      </w:r>
      <w:r>
        <w:rPr>
          <w:rFonts w:hint="eastAsia" w:ascii="Times New Roman" w:hAnsi="Times New Roman" w:eastAsia="方正仿宋_GBK" w:cs="Times New Roman"/>
          <w:sz w:val="32"/>
          <w:szCs w:val="32"/>
          <w:lang w:eastAsia="zh-CN"/>
        </w:rPr>
        <w:t>调解</w:t>
      </w:r>
      <w:r>
        <w:rPr>
          <w:rFonts w:hint="eastAsia" w:ascii="Times New Roman" w:hAnsi="Times New Roman" w:eastAsia="方正仿宋_GBK" w:cs="Times New Roman"/>
          <w:sz w:val="32"/>
          <w:szCs w:val="32"/>
        </w:rPr>
        <w:t>点178</w:t>
      </w:r>
      <w:r>
        <w:rPr>
          <w:rFonts w:ascii="Times New Roman" w:hAnsi="Times New Roman" w:eastAsia="方正仿宋_GBK" w:cs="Times New Roman"/>
          <w:sz w:val="32"/>
          <w:szCs w:val="32"/>
        </w:rPr>
        <w:t>个</w:t>
      </w:r>
      <w:r>
        <w:rPr>
          <w:rFonts w:hint="eastAsia" w:ascii="Times New Roman" w:hAnsi="Times New Roman" w:eastAsia="方正仿宋_GBK" w:cs="Times New Roman"/>
          <w:sz w:val="32"/>
          <w:szCs w:val="32"/>
        </w:rPr>
        <w:t>，全镇全面排查矛盾纠纷798件、成功调解798件</w:t>
      </w:r>
      <w:r>
        <w:rPr>
          <w:rFonts w:ascii="Times New Roman" w:hAnsi="Times New Roman" w:eastAsia="方正仿宋_GBK" w:cs="Times New Roman"/>
          <w:sz w:val="32"/>
          <w:szCs w:val="32"/>
        </w:rPr>
        <w:t>，调解成功率达100%。</w:t>
      </w:r>
      <w:r>
        <w:rPr>
          <w:rFonts w:hint="eastAsia" w:ascii="Times New Roman" w:hAnsi="Times New Roman" w:eastAsia="方正仿宋_GBK" w:cs="Times New Roman"/>
          <w:b/>
          <w:bCs/>
          <w:sz w:val="32"/>
          <w:szCs w:val="32"/>
        </w:rPr>
        <w:t>三是</w:t>
      </w:r>
      <w:r>
        <w:rPr>
          <w:rFonts w:ascii="Times New Roman" w:hAnsi="Times New Roman" w:eastAsia="方正仿宋_GBK" w:cs="Times New Roman"/>
          <w:b/>
          <w:bCs/>
          <w:sz w:val="32"/>
          <w:szCs w:val="32"/>
        </w:rPr>
        <w:t>贯彻诉源治理，提升基层治理调处力。</w:t>
      </w:r>
      <w:r>
        <w:rPr>
          <w:rFonts w:ascii="Times New Roman" w:hAnsi="Times New Roman" w:eastAsia="方正仿宋_GBK" w:cs="Times New Roman"/>
          <w:sz w:val="32"/>
          <w:szCs w:val="32"/>
        </w:rPr>
        <w:t>依托基层人民调解平台，对法院转送、自排查的矛盾纠纷实施</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诉源调解</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，高家镇未发生</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民转刑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民转极</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民转命</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等恶性刑事案件、重大矛盾纠纷事件。</w:t>
      </w:r>
    </w:p>
    <w:p>
      <w:pPr>
        <w:pStyle w:val="14"/>
        <w:tabs>
          <w:tab w:val="left" w:pos="1096"/>
        </w:tabs>
        <w:spacing w:before="1" w:line="600" w:lineRule="exact"/>
        <w:ind w:left="0" w:firstLine="640" w:firstLineChars="200"/>
        <w:rPr>
          <w:rFonts w:ascii="Times New Roman" w:hAnsi="Times New Roman" w:eastAsia="方正仿宋_GBK" w:cs="Times New Roman"/>
          <w:b w:val="0"/>
          <w:bCs w:val="0"/>
          <w:sz w:val="32"/>
          <w:szCs w:val="32"/>
        </w:rPr>
      </w:pPr>
      <w:r>
        <w:rPr>
          <w:rFonts w:ascii="Times New Roman" w:hAnsi="Times New Roman" w:eastAsia="方正楷体_GBK" w:cs="Times New Roman"/>
          <w:b w:val="0"/>
          <w:bCs w:val="0"/>
          <w:sz w:val="32"/>
          <w:szCs w:val="32"/>
        </w:rPr>
        <w:drawing>
          <wp:anchor distT="0" distB="0" distL="114300" distR="114300" simplePos="0" relativeHeight="251661312" behindDoc="1" locked="0" layoutInCell="1" hidden="1" allowOverlap="1">
            <wp:simplePos x="0" y="0"/>
            <wp:positionH relativeFrom="page">
              <wp:posOffset>2747645</wp:posOffset>
            </wp:positionH>
            <wp:positionV relativeFrom="paragraph">
              <wp:posOffset>42545</wp:posOffset>
            </wp:positionV>
            <wp:extent cx="2058035" cy="2019935"/>
            <wp:effectExtent l="0" t="0" r="0" b="0"/>
            <wp:wrapNone/>
            <wp:docPr id="6" name="image1.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hidden="1"/>
                    <pic:cNvPicPr>
                      <a:picLocks noChangeAspect="1"/>
                    </pic:cNvPicPr>
                  </pic:nvPicPr>
                  <pic:blipFill>
                    <a:blip r:embed="rId4"/>
                    <a:stretch>
                      <a:fillRect/>
                    </a:stretch>
                  </pic:blipFill>
                  <pic:spPr>
                    <a:xfrm>
                      <a:off x="0" y="0"/>
                      <a:ext cx="2058035" cy="2019935"/>
                    </a:xfrm>
                    <a:prstGeom prst="rect">
                      <a:avLst/>
                    </a:prstGeom>
                    <a:noFill/>
                    <a:ln>
                      <a:noFill/>
                    </a:ln>
                  </pic:spPr>
                </pic:pic>
              </a:graphicData>
            </a:graphic>
          </wp:anchor>
        </w:drawing>
      </w:r>
      <w:r>
        <w:rPr>
          <w:rFonts w:hint="eastAsia" w:ascii="Times New Roman" w:hAnsi="Times New Roman" w:eastAsia="方正楷体_GBK" w:cs="Times New Roman"/>
          <w:b w:val="0"/>
          <w:bCs w:val="0"/>
          <w:sz w:val="32"/>
          <w:szCs w:val="32"/>
        </w:rPr>
        <w:t>（三）强化制度执行，提升执法规范化水平。</w:t>
      </w:r>
      <w:r>
        <w:rPr>
          <w:rFonts w:ascii="Times New Roman" w:hAnsi="Times New Roman" w:eastAsia="方正仿宋_GBK" w:cs="Times New Roman"/>
          <w:sz w:val="32"/>
          <w:szCs w:val="32"/>
        </w:rPr>
        <w:t>一是全面推行行政执法公示制度。</w:t>
      </w:r>
      <w:r>
        <w:rPr>
          <w:rFonts w:ascii="Times New Roman" w:hAnsi="Times New Roman" w:eastAsia="方正仿宋_GBK" w:cs="Times New Roman"/>
          <w:b w:val="0"/>
          <w:bCs w:val="0"/>
          <w:sz w:val="32"/>
          <w:szCs w:val="32"/>
        </w:rPr>
        <w:t>制定</w:t>
      </w:r>
      <w:r>
        <w:rPr>
          <w:rFonts w:hint="eastAsia" w:ascii="Times New Roman" w:hAnsi="Times New Roman" w:eastAsia="方正仿宋_GBK" w:cs="Times New Roman"/>
          <w:b w:val="0"/>
          <w:bCs w:val="0"/>
          <w:sz w:val="32"/>
          <w:szCs w:val="32"/>
        </w:rPr>
        <w:t>了</w:t>
      </w:r>
      <w:r>
        <w:rPr>
          <w:rFonts w:ascii="Times New Roman" w:hAnsi="Times New Roman" w:eastAsia="方正仿宋_GBK" w:cs="Times New Roman"/>
          <w:b w:val="0"/>
          <w:bCs w:val="0"/>
          <w:sz w:val="32"/>
          <w:szCs w:val="32"/>
        </w:rPr>
        <w:t>行政执法公示办法</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建立健全对公开信息审核、纠错机制，构建分工明确、职责明晰、便捷高效的行政执法公示运行机制。</w:t>
      </w:r>
      <w:r>
        <w:rPr>
          <w:rFonts w:ascii="Times New Roman" w:hAnsi="Times New Roman" w:eastAsia="方正仿宋_GBK" w:cs="Times New Roman"/>
          <w:sz w:val="32"/>
          <w:szCs w:val="32"/>
        </w:rPr>
        <w:t>二是开展行政执法全过程记录。</w:t>
      </w:r>
      <w:r>
        <w:rPr>
          <w:rFonts w:ascii="Times New Roman" w:hAnsi="Times New Roman" w:eastAsia="方正仿宋_GBK" w:cs="Times New Roman"/>
          <w:b w:val="0"/>
          <w:bCs w:val="0"/>
          <w:sz w:val="32"/>
          <w:szCs w:val="32"/>
        </w:rPr>
        <w:t>建立公众查询制度，设立公众查阅处，进一步督促和保证了执法程序、时限等符合法律法规的要求。</w:t>
      </w:r>
      <w:r>
        <w:rPr>
          <w:rFonts w:ascii="Times New Roman" w:hAnsi="Times New Roman" w:eastAsia="方正仿宋_GBK" w:cs="Times New Roman"/>
          <w:sz w:val="32"/>
          <w:szCs w:val="32"/>
        </w:rPr>
        <w:t>三是加强重大执法决定法制审核制度。</w:t>
      </w:r>
      <w:r>
        <w:rPr>
          <w:rFonts w:ascii="Times New Roman" w:hAnsi="Times New Roman" w:eastAsia="方正仿宋_GBK" w:cs="Times New Roman"/>
          <w:b w:val="0"/>
          <w:bCs w:val="0"/>
          <w:sz w:val="32"/>
          <w:szCs w:val="32"/>
        </w:rPr>
        <w:t>对</w:t>
      </w:r>
      <w:r>
        <w:rPr>
          <w:rFonts w:hint="eastAsia" w:ascii="Times New Roman" w:hAnsi="Times New Roman" w:eastAsia="方正仿宋_GBK" w:cs="Times New Roman"/>
          <w:b w:val="0"/>
          <w:bCs w:val="0"/>
          <w:sz w:val="32"/>
          <w:szCs w:val="32"/>
        </w:rPr>
        <w:t>重大执法事项进行对照审核，</w:t>
      </w:r>
      <w:r>
        <w:rPr>
          <w:rFonts w:ascii="Times New Roman" w:hAnsi="Times New Roman" w:eastAsia="方正仿宋_GBK" w:cs="Times New Roman"/>
          <w:b w:val="0"/>
          <w:bCs w:val="0"/>
          <w:sz w:val="32"/>
          <w:szCs w:val="32"/>
        </w:rPr>
        <w:t>清单中事项明确审核要点，包括事实是否清楚、证据是否确凿、适用法律法规是否准确、执行自由裁量权是否适当以及违法行为是否涉嫌刑事犯罪等。</w:t>
      </w:r>
    </w:p>
    <w:p>
      <w:pPr>
        <w:pStyle w:val="5"/>
        <w:spacing w:before="100" w:line="600" w:lineRule="exact"/>
        <w:ind w:left="113" w:right="249" w:firstLine="640" w:firstLineChars="200"/>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四</w:t>
      </w:r>
      <w:r>
        <w:rPr>
          <w:rFonts w:ascii="Times New Roman" w:hAnsi="Times New Roman" w:eastAsia="方正楷体_GBK" w:cs="Times New Roman"/>
          <w:sz w:val="32"/>
          <w:szCs w:val="32"/>
        </w:rPr>
        <w:t>）强化信息公开，拓宽</w:t>
      </w:r>
      <w:r>
        <w:rPr>
          <w:rFonts w:hint="eastAsia" w:ascii="Times New Roman" w:hAnsi="Times New Roman" w:eastAsia="方正楷体_GBK" w:cs="Times New Roman"/>
          <w:sz w:val="32"/>
          <w:szCs w:val="32"/>
        </w:rPr>
        <w:t>民主</w:t>
      </w:r>
      <w:r>
        <w:rPr>
          <w:rFonts w:ascii="Times New Roman" w:hAnsi="Times New Roman" w:eastAsia="方正楷体_GBK" w:cs="Times New Roman"/>
          <w:sz w:val="32"/>
          <w:szCs w:val="32"/>
        </w:rPr>
        <w:t>监督渠道</w:t>
      </w:r>
      <w:r>
        <w:rPr>
          <w:rFonts w:hint="eastAsia" w:ascii="Times New Roman" w:hAnsi="Times New Roman" w:eastAsia="方正楷体_GBK" w:cs="Times New Roman"/>
          <w:sz w:val="32"/>
          <w:szCs w:val="32"/>
        </w:rPr>
        <w:t>。</w:t>
      </w:r>
      <w:r>
        <w:rPr>
          <w:rFonts w:ascii="Times New Roman" w:hAnsi="Times New Roman" w:eastAsia="方正仿宋_GBK" w:cs="Times New Roman"/>
          <w:b/>
          <w:bCs/>
          <w:color w:val="000000" w:themeColor="text1"/>
          <w:sz w:val="32"/>
          <w:szCs w:val="32"/>
          <w:shd w:val="clear" w:color="auto" w:fill="FFFFFF"/>
          <w14:textFill>
            <w14:solidFill>
              <w14:schemeClr w14:val="tx1"/>
            </w14:solidFill>
          </w14:textFill>
        </w:rPr>
        <w:t>一是组织领导更加有力。</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坚持将政府信息公开工作作为建设更加廉洁高效的服务型政府、深入推进依法行政的有力抓手</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严格按照</w:t>
      </w:r>
      <w:r>
        <w:rPr>
          <w:rFonts w:hint="eastAsia" w:ascii="Times New Roman" w:eastAsia="方正仿宋_GBK" w:cs="Times New Roman"/>
          <w:color w:val="000000" w:themeColor="text1"/>
          <w:sz w:val="32"/>
          <w:szCs w:val="32"/>
          <w:shd w:val="clear" w:color="auto" w:fill="FFFFFF"/>
          <w14:textFill>
            <w14:solidFill>
              <w14:schemeClr w14:val="tx1"/>
            </w14:solidFill>
          </w14:textFill>
        </w:rPr>
        <w:t>“三审三校”</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工作要求，政府网站信息公开需分管领导审核后发布，有效减少</w:t>
      </w:r>
      <w:r>
        <w:rPr>
          <w:rFonts w:hint="eastAsia" w:ascii="Times New Roman" w:eastAsia="方正仿宋_GBK" w:cs="Times New Roman"/>
          <w:color w:val="000000" w:themeColor="text1"/>
          <w:sz w:val="32"/>
          <w:szCs w:val="32"/>
          <w:shd w:val="clear" w:color="auto" w:fill="FFFFFF"/>
          <w14:textFill>
            <w14:solidFill>
              <w14:schemeClr w14:val="tx1"/>
            </w14:solidFill>
          </w14:textFill>
        </w:rPr>
        <w:t>了</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网站错情。政府年度信息公开工作规划及工作要点由分管领导牵头编制、主要领导审核，政府信息公开工作内容更加完善、思路更加清晰、重点更加突出。</w:t>
      </w:r>
      <w:r>
        <w:rPr>
          <w:rFonts w:ascii="Times New Roman" w:hAnsi="Times New Roman" w:eastAsia="方正仿宋_GBK" w:cs="Times New Roman"/>
          <w:b/>
          <w:bCs/>
          <w:color w:val="000000" w:themeColor="text1"/>
          <w:sz w:val="32"/>
          <w:szCs w:val="32"/>
          <w:shd w:val="clear" w:color="auto" w:fill="FFFFFF"/>
          <w14:textFill>
            <w14:solidFill>
              <w14:schemeClr w14:val="tx1"/>
            </w14:solidFill>
          </w14:textFill>
        </w:rPr>
        <w:t>二是制度机制更有保障。</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我镇进一步完善、及时更新《丰都县高家镇人民政府主动公开基本目录》及各项基层政务公开目录，将政府信息公开工作纳入高家镇绩效管理工作方案和作风效能建设考核等考评工作，</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并专人负责，</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建立健全监督检查机制，对信息更新不及时、群众反映不满意等现象进行自查整改。</w:t>
      </w:r>
      <w:r>
        <w:rPr>
          <w:rFonts w:ascii="Times New Roman" w:hAnsi="Times New Roman" w:eastAsia="方正仿宋_GBK" w:cs="Times New Roman"/>
          <w:b/>
          <w:bCs/>
          <w:color w:val="000000" w:themeColor="text1"/>
          <w:sz w:val="32"/>
          <w:szCs w:val="32"/>
          <w:shd w:val="clear" w:color="auto" w:fill="FFFFFF"/>
          <w14:textFill>
            <w14:solidFill>
              <w14:schemeClr w14:val="tx1"/>
            </w14:solidFill>
          </w14:textFill>
        </w:rPr>
        <w:t>三是工作重点更加突出。</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围绕我镇政府年度工作目标要求，聚焦年度重点工作、重大民生工作事项的主要措施、实施步骤、工作进度等重点信息向社会公布。每月、每季度及时更新城乡低保、高龄老人补贴、临时救助等重大民生事项审批审核信息，让民生保障更有力度。</w:t>
      </w:r>
    </w:p>
    <w:p>
      <w:pPr>
        <w:adjustRightInd w:val="0"/>
        <w:snapToGrid w:val="0"/>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二、2024年高家镇党政主要负责人推动法治政府建设工作部署落地落实</w:t>
      </w:r>
    </w:p>
    <w:p>
      <w:pPr>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sz w:val="32"/>
          <w:szCs w:val="32"/>
        </w:rPr>
        <w:t>（一）</w:t>
      </w:r>
      <w:r>
        <w:rPr>
          <w:rFonts w:hint="eastAsia" w:ascii="Times New Roman" w:hAnsi="Times New Roman" w:eastAsia="方正楷体_GBK" w:cs="Times New Roman"/>
          <w:sz w:val="32"/>
          <w:szCs w:val="32"/>
        </w:rPr>
        <w:t>强化</w:t>
      </w:r>
      <w:r>
        <w:rPr>
          <w:rFonts w:ascii="Times New Roman" w:hAnsi="Times New Roman" w:eastAsia="方正楷体_GBK" w:cs="Times New Roman"/>
          <w:sz w:val="32"/>
          <w:szCs w:val="32"/>
        </w:rPr>
        <w:t>法治理论学习，提升</w:t>
      </w:r>
      <w:r>
        <w:rPr>
          <w:rFonts w:hint="eastAsia" w:ascii="Times New Roman" w:hAnsi="Times New Roman" w:eastAsia="方正楷体_GBK" w:cs="Times New Roman"/>
          <w:sz w:val="32"/>
          <w:szCs w:val="32"/>
        </w:rPr>
        <w:t>法治政府建设能力。</w:t>
      </w:r>
      <w:r>
        <w:rPr>
          <w:rFonts w:ascii="Times New Roman" w:hAnsi="Times New Roman" w:eastAsia="仿宋" w:cs="Times New Roman"/>
          <w:color w:val="000000"/>
          <w:sz w:val="32"/>
          <w:szCs w:val="32"/>
          <w:shd w:val="clear" w:color="auto" w:fill="FFFFFF"/>
        </w:rPr>
        <w:t>我镇深入学习贯彻习近平法治思想，牢固树立法治理念，自觉用法治理念思考问题、分析问题，用法治思维解决问题，先后学习</w:t>
      </w:r>
      <w:r>
        <w:rPr>
          <w:rFonts w:hint="eastAsia" w:ascii="Times New Roman" w:hAnsi="Times New Roman" w:eastAsia="仿宋" w:cs="Times New Roman"/>
          <w:color w:val="000000"/>
          <w:sz w:val="32"/>
          <w:szCs w:val="32"/>
          <w:shd w:val="clear" w:color="auto" w:fill="FFFFFF"/>
        </w:rPr>
        <w:t>《中华人民共和国宪法》</w:t>
      </w:r>
      <w:r>
        <w:rPr>
          <w:rFonts w:ascii="Times New Roman" w:hAnsi="Times New Roman" w:eastAsia="仿宋" w:cs="Times New Roman"/>
          <w:color w:val="000000"/>
          <w:sz w:val="32"/>
          <w:szCs w:val="32"/>
          <w:shd w:val="clear" w:color="auto" w:fill="FFFFFF"/>
        </w:rPr>
        <w:t>《</w:t>
      </w:r>
      <w:r>
        <w:rPr>
          <w:rFonts w:hint="eastAsia" w:ascii="Times New Roman" w:hAnsi="Times New Roman" w:eastAsia="仿宋" w:cs="Times New Roman"/>
          <w:color w:val="000000"/>
          <w:sz w:val="32"/>
          <w:szCs w:val="32"/>
          <w:shd w:val="clear" w:color="auto" w:fill="FFFFFF"/>
        </w:rPr>
        <w:t>中华人民共和国民法典</w:t>
      </w:r>
      <w:r>
        <w:rPr>
          <w:rFonts w:ascii="Times New Roman" w:hAnsi="Times New Roman" w:eastAsia="仿宋" w:cs="Times New Roman"/>
          <w:color w:val="000000"/>
          <w:sz w:val="32"/>
          <w:szCs w:val="32"/>
          <w:shd w:val="clear" w:color="auto" w:fill="FFFFFF"/>
        </w:rPr>
        <w:t>》《中国共产党问责条例》等法律法规。</w:t>
      </w:r>
      <w:r>
        <w:rPr>
          <w:rFonts w:ascii="Times New Roman" w:hAnsi="Times New Roman" w:eastAsia="方正仿宋_GBK" w:cs="Times New Roman"/>
          <w:b/>
          <w:bCs/>
          <w:kern w:val="0"/>
          <w:sz w:val="32"/>
          <w:szCs w:val="32"/>
        </w:rPr>
        <w:t>一是领导干部带头学。</w:t>
      </w:r>
      <w:r>
        <w:rPr>
          <w:rFonts w:ascii="Times New Roman" w:hAnsi="Times New Roman" w:eastAsia="方正仿宋_GBK" w:cs="Times New Roman"/>
          <w:kern w:val="0"/>
          <w:sz w:val="32"/>
          <w:szCs w:val="32"/>
        </w:rPr>
        <w:t>通过镇党委会议、理论学习中心组学习等形式组织班子成员集中学习《论坚持全面依法治国》《习近平法治思想学习纲要》等理论书籍6次。</w:t>
      </w:r>
      <w:r>
        <w:rPr>
          <w:rFonts w:ascii="Times New Roman" w:hAnsi="Times New Roman" w:eastAsia="方正仿宋_GBK" w:cs="Times New Roman"/>
          <w:b/>
          <w:bCs/>
          <w:kern w:val="0"/>
          <w:sz w:val="32"/>
          <w:szCs w:val="32"/>
        </w:rPr>
        <w:t>二是重点内容主动学。</w:t>
      </w:r>
      <w:r>
        <w:rPr>
          <w:rFonts w:ascii="Times New Roman" w:hAnsi="Times New Roman" w:eastAsia="方正仿宋_GBK" w:cs="Times New Roman"/>
          <w:kern w:val="0"/>
          <w:sz w:val="32"/>
          <w:szCs w:val="32"/>
        </w:rPr>
        <w:t>将习近平法治思想及宪法、民法典等重要法律法规作为领导干部的必学内容，2024高家镇共开展会前学法8次，组织镇领导班子开展法治专题讲座2场。</w:t>
      </w:r>
      <w:r>
        <w:rPr>
          <w:rFonts w:ascii="Times New Roman" w:hAnsi="Times New Roman" w:eastAsia="方正仿宋_GBK" w:cs="Times New Roman"/>
          <w:b/>
          <w:bCs/>
          <w:kern w:val="0"/>
          <w:sz w:val="32"/>
          <w:szCs w:val="32"/>
        </w:rPr>
        <w:t>三是干部职工深入学。</w:t>
      </w:r>
      <w:r>
        <w:rPr>
          <w:rFonts w:ascii="Times New Roman" w:hAnsi="Times New Roman" w:eastAsia="方正仿宋_GBK" w:cs="Times New Roman"/>
          <w:kern w:val="0"/>
          <w:sz w:val="32"/>
          <w:szCs w:val="32"/>
        </w:rPr>
        <w:t>组织全体在编干部开展2024年度法治理论考试，参考率、合格率均达100%。组织各站办所签订《普法责任目标管理书》，强化落实普法主体责任。</w:t>
      </w:r>
    </w:p>
    <w:p>
      <w:pPr>
        <w:pStyle w:val="5"/>
        <w:spacing w:before="100" w:line="600" w:lineRule="exact"/>
        <w:ind w:left="113" w:right="249"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二</w:t>
      </w: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强化政府</w:t>
      </w:r>
      <w:r>
        <w:rPr>
          <w:rFonts w:ascii="Times New Roman" w:hAnsi="Times New Roman" w:eastAsia="方正楷体_GBK" w:cs="Times New Roman"/>
          <w:sz w:val="32"/>
          <w:szCs w:val="32"/>
        </w:rPr>
        <w:t>制度建设，</w:t>
      </w:r>
      <w:r>
        <w:rPr>
          <w:rFonts w:hint="eastAsia" w:ascii="Times New Roman" w:hAnsi="Times New Roman" w:eastAsia="方正楷体_GBK" w:cs="Times New Roman"/>
          <w:sz w:val="32"/>
          <w:szCs w:val="32"/>
        </w:rPr>
        <w:t>增强行政</w:t>
      </w:r>
      <w:r>
        <w:rPr>
          <w:rFonts w:ascii="Times New Roman" w:hAnsi="Times New Roman" w:eastAsia="方正楷体_GBK" w:cs="Times New Roman"/>
          <w:sz w:val="32"/>
          <w:szCs w:val="32"/>
        </w:rPr>
        <w:t>执法效能</w:t>
      </w:r>
      <w:r>
        <w:rPr>
          <w:rFonts w:hint="eastAsia" w:ascii="Times New Roman" w:hAnsi="Times New Roman" w:eastAsia="方正楷体_GBK" w:cs="Times New Roman"/>
          <w:sz w:val="32"/>
          <w:szCs w:val="32"/>
        </w:rPr>
        <w:t>。</w:t>
      </w:r>
      <w:r>
        <w:rPr>
          <w:rFonts w:hint="eastAsia" w:ascii="方正仿宋_GBK" w:hAnsi="方正仿宋_GBK" w:eastAsia="方正仿宋_GBK" w:cs="方正仿宋_GBK"/>
          <w:b/>
          <w:bCs/>
          <w:sz w:val="32"/>
          <w:szCs w:val="32"/>
        </w:rPr>
        <w:t>一是强化督导考核。</w:t>
      </w:r>
      <w:r>
        <w:rPr>
          <w:rFonts w:ascii="Times New Roman" w:hAnsi="Times New Roman" w:eastAsia="方正仿宋_GBK" w:cs="Times New Roman"/>
          <w:sz w:val="32"/>
          <w:szCs w:val="32"/>
        </w:rPr>
        <w:t>自觉将习近平法治思想贯穿镇党委、政府各项工作始终，全面落实法治政府建设工作要点，将法治政府建设工作纳入年度目标责任考核内容，并召开党委会议对重点工作进行安排部署，做到年初有安排、年中有落实、年末有考核。</w:t>
      </w:r>
      <w:r>
        <w:rPr>
          <w:rFonts w:hint="eastAsia" w:ascii="Times New Roman" w:hAnsi="Times New Roman" w:eastAsia="方正仿宋_GBK" w:cs="Times New Roman"/>
          <w:b/>
          <w:bCs/>
          <w:sz w:val="32"/>
          <w:szCs w:val="32"/>
        </w:rPr>
        <w:t>二是强化制度建设。</w:t>
      </w:r>
      <w:r>
        <w:rPr>
          <w:rFonts w:ascii="Times New Roman" w:hAnsi="Times New Roman" w:eastAsia="方正仿宋_GBK" w:cs="Times New Roman"/>
          <w:sz w:val="32"/>
          <w:szCs w:val="32"/>
        </w:rPr>
        <w:t>不断健全、完善依法决策机制，涉及重大决策事项的，均经集体讨论决定，进一步推进了行政决策的科学化、民主化、法治化。</w:t>
      </w:r>
      <w:r>
        <w:rPr>
          <w:rFonts w:hint="eastAsia" w:ascii="Times New Roman" w:hAnsi="Times New Roman" w:eastAsia="方正仿宋_GBK" w:cs="Times New Roman"/>
          <w:sz w:val="32"/>
          <w:szCs w:val="32"/>
        </w:rPr>
        <w:t>比如</w:t>
      </w:r>
      <w:r>
        <w:rPr>
          <w:rFonts w:ascii="Times New Roman" w:hAnsi="Times New Roman" w:eastAsia="方正仿宋_GBK" w:cs="Times New Roman"/>
          <w:sz w:val="32"/>
          <w:szCs w:val="32"/>
        </w:rPr>
        <w:t>制定《高家镇财务管理制度》，进一步严格管理、支出程序、资产管理、采购管理、资金管理等，切实提高了财务工作</w:t>
      </w:r>
      <w:r>
        <w:rPr>
          <w:rFonts w:hint="eastAsia" w:ascii="Times New Roman" w:hAnsi="Times New Roman" w:eastAsia="方正仿宋_GBK" w:cs="Times New Roman"/>
          <w:sz w:val="32"/>
          <w:szCs w:val="32"/>
        </w:rPr>
        <w:t>制度化、规范化、科学化</w:t>
      </w:r>
      <w:r>
        <w:rPr>
          <w:rFonts w:ascii="Times New Roman" w:hAnsi="Times New Roman" w:eastAsia="方正仿宋_GBK" w:cs="Times New Roman"/>
          <w:sz w:val="32"/>
          <w:szCs w:val="32"/>
        </w:rPr>
        <w:t>水平。</w:t>
      </w:r>
      <w:r>
        <w:rPr>
          <w:rFonts w:hint="eastAsia" w:ascii="Times New Roman" w:hAnsi="Times New Roman" w:eastAsia="方正仿宋_GBK" w:cs="Times New Roman"/>
          <w:b/>
          <w:bCs/>
          <w:sz w:val="32"/>
          <w:szCs w:val="32"/>
        </w:rPr>
        <w:t>三是强化能力提升。</w:t>
      </w:r>
      <w:r>
        <w:rPr>
          <w:rFonts w:hint="eastAsia" w:ascii="Times New Roman" w:hAnsi="Times New Roman" w:eastAsia="方正仿宋_GBK" w:cs="Times New Roman"/>
          <w:sz w:val="32"/>
          <w:szCs w:val="32"/>
        </w:rPr>
        <w:t>聚焦以学促干，</w:t>
      </w:r>
      <w:r>
        <w:rPr>
          <w:rFonts w:ascii="Times New Roman" w:hAnsi="Times New Roman" w:eastAsia="方正仿宋_GBK" w:cs="Times New Roman"/>
          <w:sz w:val="32"/>
          <w:szCs w:val="32"/>
        </w:rPr>
        <w:t>在理论学习、法律学习方面，制定《高家镇党委中心组学习制度》</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进一步提升干部队伍思想政治觉悟及执法水平</w:t>
      </w:r>
      <w:r>
        <w:rPr>
          <w:rFonts w:ascii="Times New Roman" w:hAnsi="Times New Roman" w:eastAsia="方正仿宋_GBK" w:cs="Times New Roman"/>
          <w:sz w:val="32"/>
          <w:szCs w:val="32"/>
        </w:rPr>
        <w:t>。</w:t>
      </w:r>
    </w:p>
    <w:p>
      <w:pPr>
        <w:pStyle w:val="4"/>
        <w:spacing w:line="600" w:lineRule="exact"/>
        <w:ind w:firstLine="640"/>
        <w:rPr>
          <w:rFonts w:ascii="Times New Roman" w:hAnsi="Times New Roman" w:cs="Times New Roman"/>
          <w:szCs w:val="32"/>
        </w:rPr>
      </w:pPr>
      <w:r>
        <w:rPr>
          <w:rFonts w:ascii="Times New Roman" w:hAnsi="Times New Roman" w:eastAsia="方正楷体_GBK" w:cs="Times New Roman"/>
          <w:szCs w:val="32"/>
        </w:rPr>
        <w:t>（</w:t>
      </w:r>
      <w:r>
        <w:rPr>
          <w:rFonts w:hint="eastAsia" w:ascii="Times New Roman" w:hAnsi="Times New Roman" w:eastAsia="方正楷体_GBK" w:cs="Times New Roman"/>
          <w:szCs w:val="32"/>
        </w:rPr>
        <w:t>三</w:t>
      </w:r>
      <w:r>
        <w:rPr>
          <w:rFonts w:ascii="Times New Roman" w:hAnsi="Times New Roman" w:eastAsia="方正楷体_GBK" w:cs="Times New Roman"/>
          <w:szCs w:val="32"/>
        </w:rPr>
        <w:t>）强化普法宣传，营造良好法治氛围</w:t>
      </w:r>
      <w:r>
        <w:rPr>
          <w:rFonts w:hint="eastAsia" w:ascii="Times New Roman" w:hAnsi="Times New Roman" w:eastAsia="方正楷体_GBK" w:cs="Times New Roman"/>
          <w:szCs w:val="32"/>
        </w:rPr>
        <w:t>。</w:t>
      </w:r>
      <w:r>
        <w:rPr>
          <w:rFonts w:ascii="Times New Roman" w:hAnsi="Times New Roman" w:cs="Times New Roman"/>
          <w:b/>
          <w:bCs/>
          <w:kern w:val="0"/>
          <w:szCs w:val="32"/>
        </w:rPr>
        <w:t>一是</w:t>
      </w:r>
      <w:r>
        <w:rPr>
          <w:rFonts w:hint="eastAsia" w:ascii="Times New Roman" w:hAnsi="Times New Roman" w:cs="Times New Roman"/>
          <w:b/>
          <w:bCs/>
          <w:kern w:val="0"/>
          <w:szCs w:val="32"/>
        </w:rPr>
        <w:t>“</w:t>
      </w:r>
      <w:r>
        <w:rPr>
          <w:rFonts w:ascii="Times New Roman" w:hAnsi="Times New Roman" w:cs="Times New Roman"/>
          <w:b/>
          <w:bCs/>
          <w:kern w:val="0"/>
          <w:szCs w:val="32"/>
        </w:rPr>
        <w:t>线下+线上</w:t>
      </w:r>
      <w:r>
        <w:rPr>
          <w:rFonts w:hint="eastAsia" w:ascii="Times New Roman" w:hAnsi="Times New Roman" w:cs="Times New Roman"/>
          <w:b/>
          <w:bCs/>
          <w:kern w:val="0"/>
          <w:szCs w:val="32"/>
        </w:rPr>
        <w:t>”</w:t>
      </w:r>
      <w:r>
        <w:rPr>
          <w:rFonts w:ascii="Times New Roman" w:hAnsi="Times New Roman" w:cs="Times New Roman"/>
          <w:b/>
          <w:bCs/>
          <w:kern w:val="0"/>
          <w:szCs w:val="32"/>
        </w:rPr>
        <w:t>。</w:t>
      </w:r>
      <w:r>
        <w:rPr>
          <w:rFonts w:ascii="Times New Roman" w:hAnsi="Times New Roman" w:cs="Times New Roman"/>
          <w:kern w:val="0"/>
          <w:szCs w:val="32"/>
        </w:rPr>
        <w:t>充分利用镇内法治宣传栏、电子显示屏，通过张贴宣传海报、悬挂宣传横幅、循环播放法治宣传标语等形式开展普法宣传，通过院坝会和村民网格微信群，推送法治、电信诈骗、未成年人保护、宅基地建房等内容的法治资讯、法律知识解读，拓宽普法宣传渠道。2024年通过各社区</w:t>
      </w:r>
      <w:r>
        <w:rPr>
          <w:rFonts w:hint="eastAsia" w:ascii="Times New Roman" w:hAnsi="Times New Roman" w:cs="Times New Roman"/>
          <w:kern w:val="0"/>
          <w:szCs w:val="32"/>
        </w:rPr>
        <w:t>“</w:t>
      </w:r>
      <w:r>
        <w:rPr>
          <w:rFonts w:ascii="Times New Roman" w:hAnsi="Times New Roman" w:cs="Times New Roman"/>
          <w:kern w:val="0"/>
          <w:szCs w:val="32"/>
        </w:rPr>
        <w:t>微信</w:t>
      </w:r>
      <w:r>
        <w:rPr>
          <w:rFonts w:hint="eastAsia" w:ascii="Times New Roman" w:hAnsi="Times New Roman" w:cs="Times New Roman"/>
          <w:kern w:val="0"/>
          <w:szCs w:val="32"/>
        </w:rPr>
        <w:t>”</w:t>
      </w:r>
      <w:r>
        <w:rPr>
          <w:rFonts w:ascii="Times New Roman" w:hAnsi="Times New Roman" w:cs="Times New Roman"/>
          <w:kern w:val="0"/>
          <w:szCs w:val="32"/>
        </w:rPr>
        <w:t>平台、村居法务APP累计推送法律知识、以案释法300余次，线上答疑630余条。</w:t>
      </w:r>
      <w:r>
        <w:rPr>
          <w:rFonts w:ascii="Times New Roman" w:hAnsi="Times New Roman" w:cs="Times New Roman"/>
          <w:b/>
          <w:bCs/>
          <w:kern w:val="0"/>
          <w:szCs w:val="32"/>
        </w:rPr>
        <w:t>二是</w:t>
      </w:r>
      <w:r>
        <w:rPr>
          <w:rFonts w:hint="eastAsia" w:ascii="Times New Roman" w:hAnsi="Times New Roman" w:cs="Times New Roman"/>
          <w:b/>
          <w:bCs/>
          <w:kern w:val="0"/>
          <w:szCs w:val="32"/>
        </w:rPr>
        <w:t>“</w:t>
      </w:r>
      <w:r>
        <w:rPr>
          <w:rFonts w:ascii="Times New Roman" w:hAnsi="Times New Roman" w:cs="Times New Roman"/>
          <w:b/>
          <w:bCs/>
          <w:kern w:val="0"/>
          <w:szCs w:val="32"/>
        </w:rPr>
        <w:t>普通＋特殊</w:t>
      </w:r>
      <w:r>
        <w:rPr>
          <w:rFonts w:hint="eastAsia" w:ascii="Times New Roman" w:hAnsi="Times New Roman" w:cs="Times New Roman"/>
          <w:b/>
          <w:bCs/>
          <w:kern w:val="0"/>
          <w:szCs w:val="32"/>
        </w:rPr>
        <w:t>”</w:t>
      </w:r>
      <w:r>
        <w:rPr>
          <w:rFonts w:ascii="Times New Roman" w:hAnsi="Times New Roman" w:cs="Times New Roman"/>
          <w:b/>
          <w:bCs/>
          <w:kern w:val="0"/>
          <w:szCs w:val="32"/>
        </w:rPr>
        <w:t>。</w:t>
      </w:r>
      <w:r>
        <w:rPr>
          <w:rFonts w:ascii="Times New Roman" w:hAnsi="Times New Roman" w:cs="Times New Roman"/>
          <w:kern w:val="0"/>
          <w:szCs w:val="32"/>
        </w:rPr>
        <w:t>在</w:t>
      </w:r>
      <w:r>
        <w:rPr>
          <w:rFonts w:hint="eastAsia" w:ascii="Times New Roman" w:hAnsi="Times New Roman" w:cs="Times New Roman"/>
          <w:kern w:val="0"/>
          <w:szCs w:val="32"/>
        </w:rPr>
        <w:t>“</w:t>
      </w:r>
      <w:r>
        <w:rPr>
          <w:rFonts w:ascii="Times New Roman" w:hAnsi="Times New Roman" w:cs="Times New Roman"/>
          <w:kern w:val="0"/>
          <w:szCs w:val="32"/>
        </w:rPr>
        <w:t>3·15消费者日</w:t>
      </w:r>
      <w:r>
        <w:rPr>
          <w:rFonts w:hint="eastAsia" w:ascii="Times New Roman" w:hAnsi="Times New Roman" w:cs="Times New Roman"/>
          <w:kern w:val="0"/>
          <w:szCs w:val="32"/>
        </w:rPr>
        <w:t>”“</w:t>
      </w:r>
      <w:r>
        <w:rPr>
          <w:rFonts w:ascii="Times New Roman" w:hAnsi="Times New Roman" w:cs="Times New Roman"/>
          <w:kern w:val="0"/>
          <w:szCs w:val="32"/>
        </w:rPr>
        <w:t>4·15国家安全</w:t>
      </w:r>
      <w:r>
        <w:rPr>
          <w:rFonts w:hint="eastAsia" w:ascii="Times New Roman" w:hAnsi="Times New Roman" w:cs="Times New Roman"/>
          <w:kern w:val="0"/>
          <w:szCs w:val="32"/>
          <w:lang w:val="en-US" w:eastAsia="zh-CN"/>
        </w:rPr>
        <w:t>教育</w:t>
      </w:r>
      <w:r>
        <w:rPr>
          <w:rFonts w:ascii="Times New Roman" w:hAnsi="Times New Roman" w:cs="Times New Roman"/>
          <w:kern w:val="0"/>
          <w:szCs w:val="32"/>
        </w:rPr>
        <w:t>日</w:t>
      </w:r>
      <w:r>
        <w:rPr>
          <w:rFonts w:hint="eastAsia" w:ascii="Times New Roman" w:hAnsi="Times New Roman" w:cs="Times New Roman"/>
          <w:kern w:val="0"/>
          <w:szCs w:val="32"/>
        </w:rPr>
        <w:t>”“</w:t>
      </w:r>
      <w:r>
        <w:rPr>
          <w:rFonts w:ascii="Times New Roman" w:hAnsi="Times New Roman" w:cs="Times New Roman"/>
          <w:kern w:val="0"/>
          <w:szCs w:val="32"/>
        </w:rPr>
        <w:t>6·26</w:t>
      </w:r>
      <w:r>
        <w:rPr>
          <w:rFonts w:hint="eastAsia" w:ascii="Times New Roman" w:hAnsi="Times New Roman" w:cs="Times New Roman"/>
          <w:kern w:val="0"/>
          <w:szCs w:val="32"/>
        </w:rPr>
        <w:t>”</w:t>
      </w:r>
      <w:r>
        <w:rPr>
          <w:rFonts w:ascii="Times New Roman" w:hAnsi="Times New Roman" w:cs="Times New Roman"/>
          <w:kern w:val="0"/>
          <w:szCs w:val="32"/>
        </w:rPr>
        <w:t>国际禁毒日</w:t>
      </w:r>
      <w:r>
        <w:rPr>
          <w:rFonts w:hint="eastAsia" w:ascii="Times New Roman" w:hAnsi="Times New Roman" w:cs="Times New Roman"/>
          <w:kern w:val="0"/>
          <w:szCs w:val="32"/>
        </w:rPr>
        <w:t>”“</w:t>
      </w:r>
      <w:r>
        <w:rPr>
          <w:rFonts w:ascii="Times New Roman" w:hAnsi="Times New Roman" w:cs="Times New Roman"/>
          <w:kern w:val="0"/>
          <w:szCs w:val="32"/>
        </w:rPr>
        <w:t>12·4</w:t>
      </w:r>
      <w:r>
        <w:rPr>
          <w:rFonts w:hint="eastAsia" w:ascii="Times New Roman" w:hAnsi="Times New Roman" w:cs="Times New Roman"/>
          <w:kern w:val="0"/>
          <w:szCs w:val="32"/>
        </w:rPr>
        <w:t>”</w:t>
      </w:r>
      <w:r>
        <w:rPr>
          <w:rFonts w:hint="eastAsia" w:ascii="Times New Roman" w:hAnsi="Times New Roman" w:cs="Times New Roman"/>
          <w:kern w:val="0"/>
          <w:szCs w:val="32"/>
          <w:lang w:val="en-US" w:eastAsia="zh-CN"/>
        </w:rPr>
        <w:t>国家</w:t>
      </w:r>
      <w:r>
        <w:rPr>
          <w:rFonts w:ascii="Times New Roman" w:hAnsi="Times New Roman" w:cs="Times New Roman"/>
          <w:kern w:val="0"/>
          <w:szCs w:val="32"/>
        </w:rPr>
        <w:t>宪法日及安全生产月、宪法宣传周等重要时间节点，针对老年人、残疾人、社区矫正对象等特殊群体，结合法律进社区、社区文艺宣传普法活动，开展针对性的普法宣传活动。2024年，累计组织开展主题法治宣传活动24次，法治讲座活动16场，悬挂宣传标语20余条，LED屏滚动播放法治宣传标语，发放各类宣传资料3000余份。</w:t>
      </w:r>
      <w:r>
        <w:rPr>
          <w:rFonts w:ascii="Times New Roman" w:hAnsi="Times New Roman" w:cs="Times New Roman"/>
          <w:b/>
          <w:bCs/>
          <w:kern w:val="0"/>
          <w:szCs w:val="32"/>
        </w:rPr>
        <w:t>三是</w:t>
      </w:r>
      <w:r>
        <w:rPr>
          <w:rFonts w:hint="eastAsia" w:ascii="Times New Roman" w:hAnsi="Times New Roman" w:cs="Times New Roman"/>
          <w:b/>
          <w:bCs/>
          <w:kern w:val="0"/>
          <w:szCs w:val="32"/>
        </w:rPr>
        <w:t>“</w:t>
      </w:r>
      <w:r>
        <w:rPr>
          <w:rFonts w:ascii="Times New Roman" w:hAnsi="Times New Roman" w:cs="Times New Roman"/>
          <w:b/>
          <w:bCs/>
          <w:kern w:val="0"/>
          <w:szCs w:val="32"/>
        </w:rPr>
        <w:t>调解+宣传</w:t>
      </w:r>
      <w:r>
        <w:rPr>
          <w:rFonts w:hint="eastAsia" w:ascii="Times New Roman" w:hAnsi="Times New Roman" w:cs="Times New Roman"/>
          <w:b/>
          <w:bCs/>
          <w:kern w:val="0"/>
          <w:szCs w:val="32"/>
        </w:rPr>
        <w:t>”</w:t>
      </w:r>
      <w:r>
        <w:rPr>
          <w:rFonts w:ascii="Times New Roman" w:hAnsi="Times New Roman" w:cs="Times New Roman"/>
          <w:b/>
          <w:bCs/>
          <w:kern w:val="0"/>
          <w:szCs w:val="32"/>
        </w:rPr>
        <w:t>。</w:t>
      </w:r>
      <w:r>
        <w:rPr>
          <w:rFonts w:ascii="Times New Roman" w:hAnsi="Times New Roman" w:cs="Times New Roman"/>
          <w:kern w:val="0"/>
          <w:szCs w:val="32"/>
        </w:rPr>
        <w:t>高家镇充分发挥村（居）法律顾问、社区法律明白人、专职人民调解员等法治人才的作用，通过以案释法、以法析理等形式，向群众释法说理，使化解纷争的过程成为普法的过程，从源头上防范和化解矛盾纠纷，有效维护辖区和谐稳定。今年以来，共排查各类矛盾纠纷和不稳定因素195次，化解各类矛盾纠纷191件，制作人民调解案卷765卷，组织开展人民调解业务培训4场。</w:t>
      </w:r>
    </w:p>
    <w:p>
      <w:pPr>
        <w:pStyle w:val="2"/>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三、2024年推进法治政府建设存在的不足和原因</w:t>
      </w:r>
    </w:p>
    <w:p>
      <w:pPr>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楷体_GBK" w:cs="Times New Roman"/>
          <w:color w:val="000000"/>
          <w:sz w:val="32"/>
          <w:szCs w:val="32"/>
          <w:shd w:val="clear" w:color="auto" w:fill="FFFFFF"/>
        </w:rPr>
        <w:t>（一）领导干部推动法治政府建设的能力</w:t>
      </w:r>
      <w:r>
        <w:rPr>
          <w:rFonts w:hint="eastAsia" w:ascii="Times New Roman" w:hAnsi="Times New Roman" w:eastAsia="方正楷体_GBK" w:cs="Times New Roman"/>
          <w:color w:val="000000"/>
          <w:sz w:val="32"/>
          <w:szCs w:val="32"/>
          <w:shd w:val="clear" w:color="auto" w:fill="FFFFFF"/>
        </w:rPr>
        <w:t>还</w:t>
      </w:r>
      <w:r>
        <w:rPr>
          <w:rFonts w:ascii="Times New Roman" w:hAnsi="Times New Roman" w:eastAsia="方正楷体_GBK" w:cs="Times New Roman"/>
          <w:color w:val="000000"/>
          <w:sz w:val="32"/>
          <w:szCs w:val="32"/>
          <w:shd w:val="clear" w:color="auto" w:fill="FFFFFF"/>
        </w:rPr>
        <w:t>有欠缺</w:t>
      </w:r>
      <w:r>
        <w:rPr>
          <w:rFonts w:hint="eastAsia" w:ascii="Times New Roman" w:hAnsi="Times New Roman" w:eastAsia="方正楷体_GBK" w:cs="Times New Roman"/>
          <w:color w:val="000000"/>
          <w:sz w:val="32"/>
          <w:szCs w:val="32"/>
          <w:shd w:val="clear" w:color="auto" w:fill="FFFFFF"/>
        </w:rPr>
        <w:t>。</w:t>
      </w:r>
      <w:r>
        <w:rPr>
          <w:rFonts w:ascii="Times New Roman" w:hAnsi="Times New Roman" w:eastAsia="方正仿宋_GBK" w:cs="Times New Roman"/>
          <w:sz w:val="32"/>
          <w:szCs w:val="32"/>
        </w:rPr>
        <w:t>部分领导干部对法治政府建设的全局性、系统性、长期性认识不足，运用法治思维和法治方式深化改革、推动发展、化解矛盾、维护稳定的能力有待提高。</w:t>
      </w:r>
    </w:p>
    <w:p>
      <w:pPr>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楷体_GBK" w:cs="Times New Roman"/>
          <w:color w:val="000000"/>
          <w:sz w:val="32"/>
          <w:szCs w:val="32"/>
          <w:shd w:val="clear" w:color="auto" w:fill="FFFFFF"/>
        </w:rPr>
        <w:t>（二）综合行政执法改革实效有差距</w:t>
      </w:r>
      <w:r>
        <w:rPr>
          <w:rFonts w:hint="eastAsia" w:ascii="Times New Roman" w:hAnsi="Times New Roman" w:eastAsia="方正楷体_GBK" w:cs="Times New Roman"/>
          <w:color w:val="000000"/>
          <w:sz w:val="32"/>
          <w:szCs w:val="32"/>
          <w:shd w:val="clear" w:color="auto" w:fill="FFFFFF"/>
        </w:rPr>
        <w:t>。</w:t>
      </w:r>
      <w:r>
        <w:rPr>
          <w:rFonts w:hint="eastAsia" w:ascii="Times New Roman" w:hAnsi="Times New Roman" w:eastAsia="方正仿宋_GBK" w:cs="Times New Roman"/>
          <w:sz w:val="32"/>
          <w:szCs w:val="32"/>
        </w:rPr>
        <w:t>主要存在</w:t>
      </w:r>
      <w:r>
        <w:rPr>
          <w:rFonts w:ascii="Times New Roman" w:hAnsi="Times New Roman" w:eastAsia="方正仿宋_GBK" w:cs="Times New Roman"/>
          <w:sz w:val="32"/>
          <w:szCs w:val="32"/>
        </w:rPr>
        <w:t>综合行政执法机构具体职能职责不明晰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执法人员执法水平有待提升</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执法队伍人手欠缺</w:t>
      </w:r>
      <w:r>
        <w:rPr>
          <w:rFonts w:hint="eastAsia" w:ascii="Times New Roman" w:hAnsi="Times New Roman" w:eastAsia="方正仿宋_GBK" w:cs="Times New Roman"/>
          <w:sz w:val="32"/>
          <w:szCs w:val="32"/>
        </w:rPr>
        <w:t>等问题</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小马拉大车</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现象仍然突出。</w:t>
      </w:r>
    </w:p>
    <w:p>
      <w:pPr>
        <w:spacing w:line="600" w:lineRule="exact"/>
        <w:ind w:firstLine="640" w:firstLineChars="200"/>
        <w:jc w:val="left"/>
        <w:rPr>
          <w:rFonts w:ascii="Times New Roman" w:hAnsi="Times New Roman" w:eastAsia="方正黑体_GBK" w:cs="Times New Roman"/>
          <w:sz w:val="32"/>
          <w:szCs w:val="32"/>
        </w:rPr>
      </w:pPr>
      <w:r>
        <w:rPr>
          <w:rFonts w:ascii="Times New Roman" w:hAnsi="Times New Roman" w:eastAsia="方正楷体_GBK" w:cs="Times New Roman"/>
          <w:color w:val="000000"/>
          <w:sz w:val="32"/>
          <w:szCs w:val="32"/>
          <w:shd w:val="clear" w:color="auto" w:fill="FFFFFF"/>
        </w:rPr>
        <w:t>（三）法治化营商环境建设有短板</w:t>
      </w:r>
      <w:r>
        <w:rPr>
          <w:rFonts w:hint="eastAsia" w:ascii="Times New Roman" w:hAnsi="Times New Roman" w:eastAsia="方正楷体_GBK" w:cs="Times New Roman"/>
          <w:color w:val="000000"/>
          <w:sz w:val="32"/>
          <w:szCs w:val="32"/>
          <w:shd w:val="clear" w:color="auto" w:fill="FFFFFF"/>
        </w:rPr>
        <w:t>。</w:t>
      </w:r>
      <w:r>
        <w:rPr>
          <w:rFonts w:hint="eastAsia" w:ascii="Times New Roman" w:hAnsi="Times New Roman" w:eastAsia="方正仿宋_GBK" w:cs="Times New Roman"/>
          <w:sz w:val="32"/>
          <w:szCs w:val="32"/>
        </w:rPr>
        <w:t>主要是存在</w:t>
      </w:r>
      <w:r>
        <w:rPr>
          <w:rFonts w:ascii="Times New Roman" w:hAnsi="Times New Roman" w:eastAsia="方正仿宋_GBK" w:cs="Times New Roman"/>
          <w:sz w:val="32"/>
          <w:szCs w:val="32"/>
        </w:rPr>
        <w:t>法治意识有待提高</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行政执法水平有待提升</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法律服务供给</w:t>
      </w:r>
      <w:r>
        <w:rPr>
          <w:rFonts w:hint="eastAsia" w:ascii="Times New Roman" w:hAnsi="Times New Roman" w:eastAsia="方正仿宋_GBK" w:cs="Times New Roman"/>
          <w:sz w:val="32"/>
          <w:szCs w:val="32"/>
        </w:rPr>
        <w:t>还</w:t>
      </w:r>
      <w:r>
        <w:rPr>
          <w:rFonts w:ascii="Times New Roman" w:hAnsi="Times New Roman" w:eastAsia="方正仿宋_GBK" w:cs="Times New Roman"/>
          <w:sz w:val="32"/>
          <w:szCs w:val="32"/>
        </w:rPr>
        <w:t>不足</w:t>
      </w:r>
      <w:r>
        <w:rPr>
          <w:rFonts w:hint="eastAsia" w:ascii="Times New Roman" w:hAnsi="Times New Roman" w:eastAsia="方正仿宋_GBK" w:cs="Times New Roman"/>
          <w:sz w:val="32"/>
          <w:szCs w:val="32"/>
        </w:rPr>
        <w:t>等问题，</w:t>
      </w:r>
      <w:r>
        <w:rPr>
          <w:rFonts w:ascii="Times New Roman" w:hAnsi="Times New Roman" w:eastAsia="方正仿宋_GBK" w:cs="Times New Roman"/>
          <w:sz w:val="32"/>
          <w:szCs w:val="32"/>
        </w:rPr>
        <w:t>公共法律服务资源相对匮乏，不能满足企业和群众日益增长的法律服务需求。</w:t>
      </w:r>
    </w:p>
    <w:p>
      <w:pPr>
        <w:adjustRightInd w:val="0"/>
        <w:snapToGrid w:val="0"/>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四、2025年推进法治政府建设的工作思路及举措</w:t>
      </w:r>
    </w:p>
    <w:p>
      <w:pPr>
        <w:pStyle w:val="5"/>
        <w:spacing w:before="3" w:line="600" w:lineRule="exact"/>
        <w:ind w:right="250" w:firstLine="640" w:firstLineChars="200"/>
        <w:rPr>
          <w:rFonts w:ascii="Times New Roman" w:hAnsi="Times New Roman" w:eastAsia="方正仿宋_GBK" w:cs="Times New Roman"/>
          <w:sz w:val="32"/>
          <w:szCs w:val="32"/>
        </w:rPr>
      </w:pPr>
      <w:r>
        <w:rPr>
          <w:rFonts w:ascii="Times New Roman" w:hAnsi="Times New Roman" w:eastAsia="方正楷体_GBK" w:cs="Times New Roman"/>
          <w:color w:val="000000"/>
          <w:sz w:val="32"/>
          <w:szCs w:val="32"/>
          <w:shd w:val="clear" w:color="auto" w:fill="FFFFFF"/>
        </w:rPr>
        <w:drawing>
          <wp:anchor distT="0" distB="0" distL="114300" distR="114300" simplePos="0" relativeHeight="251660288" behindDoc="1" locked="0" layoutInCell="1" hidden="1" allowOverlap="1">
            <wp:simplePos x="0" y="0"/>
            <wp:positionH relativeFrom="page">
              <wp:posOffset>2747645</wp:posOffset>
            </wp:positionH>
            <wp:positionV relativeFrom="paragraph">
              <wp:posOffset>1212215</wp:posOffset>
            </wp:positionV>
            <wp:extent cx="2058035" cy="2019935"/>
            <wp:effectExtent l="0" t="0" r="0" b="0"/>
            <wp:wrapNone/>
            <wp:docPr id="3" name="图片 4"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hidden="1"/>
                    <pic:cNvPicPr>
                      <a:picLocks noChangeAspect="1"/>
                    </pic:cNvPicPr>
                  </pic:nvPicPr>
                  <pic:blipFill>
                    <a:blip r:embed="rId4"/>
                    <a:stretch>
                      <a:fillRect/>
                    </a:stretch>
                  </pic:blipFill>
                  <pic:spPr>
                    <a:xfrm>
                      <a:off x="0" y="0"/>
                      <a:ext cx="2058035" cy="2019935"/>
                    </a:xfrm>
                    <a:prstGeom prst="rect">
                      <a:avLst/>
                    </a:prstGeom>
                    <a:noFill/>
                    <a:ln>
                      <a:noFill/>
                    </a:ln>
                  </pic:spPr>
                </pic:pic>
              </a:graphicData>
            </a:graphic>
          </wp:anchor>
        </w:drawing>
      </w:r>
      <w:r>
        <w:rPr>
          <w:rFonts w:ascii="Times New Roman" w:hAnsi="Times New Roman" w:eastAsia="方正楷体_GBK" w:cs="Times New Roman"/>
          <w:color w:val="000000"/>
          <w:sz w:val="32"/>
          <w:szCs w:val="32"/>
          <w:shd w:val="clear" w:color="auto" w:fill="FFFFFF"/>
        </w:rPr>
        <w:t>（</w:t>
      </w:r>
      <w:r>
        <w:rPr>
          <w:rFonts w:hint="eastAsia" w:ascii="Times New Roman" w:hAnsi="Times New Roman" w:eastAsia="方正楷体_GBK" w:cs="Times New Roman"/>
          <w:color w:val="000000"/>
          <w:sz w:val="32"/>
          <w:szCs w:val="32"/>
          <w:shd w:val="clear" w:color="auto" w:fill="FFFFFF"/>
        </w:rPr>
        <w:t>一</w:t>
      </w:r>
      <w:r>
        <w:rPr>
          <w:rFonts w:ascii="Times New Roman" w:hAnsi="Times New Roman" w:eastAsia="方正楷体_GBK" w:cs="Times New Roman"/>
          <w:color w:val="000000"/>
          <w:sz w:val="32"/>
          <w:szCs w:val="32"/>
          <w:shd w:val="clear" w:color="auto" w:fill="FFFFFF"/>
        </w:rPr>
        <w:t>）进一步深化体制改革，</w:t>
      </w:r>
      <w:r>
        <w:rPr>
          <w:rFonts w:hint="eastAsia" w:ascii="Times New Roman" w:hAnsi="Times New Roman" w:eastAsia="方正楷体_GBK" w:cs="Times New Roman"/>
          <w:color w:val="000000"/>
          <w:sz w:val="32"/>
          <w:szCs w:val="32"/>
          <w:shd w:val="clear" w:color="auto" w:fill="FFFFFF"/>
        </w:rPr>
        <w:t>保障</w:t>
      </w:r>
      <w:r>
        <w:rPr>
          <w:rFonts w:ascii="Times New Roman" w:hAnsi="Times New Roman" w:eastAsia="方正楷体_GBK" w:cs="Times New Roman"/>
          <w:color w:val="000000"/>
          <w:sz w:val="32"/>
          <w:szCs w:val="32"/>
          <w:shd w:val="clear" w:color="auto" w:fill="FFFFFF"/>
        </w:rPr>
        <w:t>政府职能履行</w:t>
      </w:r>
      <w:r>
        <w:rPr>
          <w:rFonts w:hint="eastAsia" w:ascii="Times New Roman" w:hAnsi="Times New Roman" w:eastAsia="方正楷体_GBK" w:cs="Times New Roman"/>
          <w:color w:val="000000"/>
          <w:sz w:val="32"/>
          <w:szCs w:val="32"/>
          <w:shd w:val="clear" w:color="auto" w:fill="FFFFFF"/>
        </w:rPr>
        <w:t>全面性。</w:t>
      </w:r>
      <w:r>
        <w:rPr>
          <w:rFonts w:ascii="Times New Roman" w:hAnsi="Times New Roman" w:eastAsia="方正仿宋_GBK" w:cs="Times New Roman"/>
          <w:sz w:val="32"/>
          <w:szCs w:val="32"/>
        </w:rPr>
        <w:t>以深化机构改革为契机，全面梳理现有职权，明确职权行使依据和主体，</w:t>
      </w:r>
      <w:r>
        <w:rPr>
          <w:rFonts w:hint="eastAsia" w:ascii="Times New Roman" w:hAnsi="Times New Roman" w:eastAsia="方正仿宋_GBK" w:cs="Times New Roman"/>
          <w:sz w:val="32"/>
          <w:szCs w:val="32"/>
        </w:rPr>
        <w:t>明晰</w:t>
      </w:r>
      <w:r>
        <w:rPr>
          <w:rFonts w:ascii="Times New Roman" w:hAnsi="Times New Roman" w:eastAsia="方正仿宋_GBK" w:cs="Times New Roman"/>
          <w:sz w:val="32"/>
          <w:szCs w:val="32"/>
        </w:rPr>
        <w:t>各类职权具体事项，公开行政执法部门权力运行流程。编制部门权力清单和责任清单，向社会全面公开政府职能、法律依据、实施主体、职责权限等，理顺职能关系，提高执法效率。</w:t>
      </w:r>
      <w:r>
        <w:rPr>
          <w:rFonts w:hint="eastAsia" w:ascii="Times New Roman" w:hAnsi="Times New Roman" w:eastAsia="方正仿宋_GBK" w:cs="Times New Roman"/>
          <w:sz w:val="32"/>
          <w:szCs w:val="32"/>
        </w:rPr>
        <w:t>切实落实好依法作出的各项决策，维护好、实现好法律体现的意志和利益要求，坚决纠正不作为、乱作为，坚决克服懒政、怠政，坚决惩处失职、渎职。</w:t>
      </w:r>
    </w:p>
    <w:p>
      <w:pPr>
        <w:pStyle w:val="5"/>
        <w:spacing w:before="3" w:line="600" w:lineRule="exact"/>
        <w:ind w:right="250" w:firstLine="640" w:firstLineChars="200"/>
        <w:rPr>
          <w:rFonts w:ascii="Times New Roman" w:hAnsi="Times New Roman" w:eastAsia="方正仿宋_GBK" w:cs="Times New Roman"/>
          <w:sz w:val="32"/>
          <w:szCs w:val="32"/>
        </w:rPr>
      </w:pPr>
      <w:r>
        <w:rPr>
          <w:rFonts w:ascii="Times New Roman" w:hAnsi="Times New Roman" w:eastAsia="方正楷体_GBK" w:cs="Times New Roman"/>
          <w:color w:val="000000"/>
          <w:sz w:val="32"/>
          <w:szCs w:val="32"/>
          <w:shd w:val="clear" w:color="auto" w:fill="FFFFFF"/>
        </w:rPr>
        <w:t>（二）</w:t>
      </w:r>
      <w:r>
        <w:rPr>
          <w:rFonts w:hint="eastAsia" w:ascii="Times New Roman" w:hAnsi="Times New Roman" w:eastAsia="方正楷体_GBK" w:cs="Times New Roman"/>
          <w:color w:val="000000"/>
          <w:sz w:val="32"/>
          <w:szCs w:val="32"/>
          <w:shd w:val="clear" w:color="auto" w:fill="FFFFFF"/>
        </w:rPr>
        <w:t>进一步</w:t>
      </w:r>
      <w:r>
        <w:rPr>
          <w:rFonts w:ascii="Times New Roman" w:hAnsi="Times New Roman" w:eastAsia="方正楷体_GBK" w:cs="Times New Roman"/>
          <w:color w:val="000000"/>
          <w:sz w:val="32"/>
          <w:szCs w:val="32"/>
          <w:shd w:val="clear" w:color="auto" w:fill="FFFFFF"/>
        </w:rPr>
        <w:t>加强法治队伍建设，保障政府决策合法性</w:t>
      </w:r>
      <w:r>
        <w:rPr>
          <w:rFonts w:hint="eastAsia" w:ascii="Times New Roman" w:hAnsi="Times New Roman" w:eastAsia="方正楷体_GBK" w:cs="Times New Roman"/>
          <w:color w:val="000000"/>
          <w:sz w:val="32"/>
          <w:szCs w:val="32"/>
          <w:shd w:val="clear" w:color="auto" w:fill="FFFFFF"/>
        </w:rPr>
        <w:t>。</w:t>
      </w:r>
      <w:r>
        <w:rPr>
          <w:rFonts w:ascii="Times New Roman" w:hAnsi="Times New Roman" w:eastAsia="方正仿宋_GBK" w:cs="Times New Roman"/>
          <w:sz w:val="32"/>
          <w:szCs w:val="32"/>
        </w:rPr>
        <w:t>创新法治人才培养机制，不断加强行政执法人员的法律知识和业务的培训</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打造政治强、作风硬、业务精的法治工作队伍</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建立健全执法、司法机关之间以及与其他机关之间干部和人才常态化交流机制。实施法律职业人员统一职前培训制度</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提高人员队伍的整体素质，进一步</w:t>
      </w:r>
      <w:r>
        <w:rPr>
          <w:rFonts w:hint="eastAsia" w:ascii="Times New Roman" w:hAnsi="Times New Roman" w:eastAsia="方正仿宋_GBK" w:cs="Times New Roman"/>
          <w:sz w:val="32"/>
          <w:szCs w:val="32"/>
        </w:rPr>
        <w:t>提升</w:t>
      </w:r>
      <w:r>
        <w:rPr>
          <w:rFonts w:ascii="Times New Roman" w:hAnsi="Times New Roman" w:eastAsia="方正仿宋_GBK" w:cs="Times New Roman"/>
          <w:sz w:val="32"/>
          <w:szCs w:val="32"/>
        </w:rPr>
        <w:t>依法行政的意识和水平，进一步发挥法治机构在法治政府建</w:t>
      </w:r>
      <w:r>
        <w:rPr>
          <w:rFonts w:hint="eastAsia" w:ascii="Times New Roman" w:hAnsi="Times New Roman" w:eastAsia="方正仿宋_GBK" w:cs="Times New Roman"/>
          <w:sz w:val="32"/>
          <w:szCs w:val="32"/>
        </w:rPr>
        <w:t>设中</w:t>
      </w:r>
      <w:r>
        <w:rPr>
          <w:rFonts w:ascii="Times New Roman" w:hAnsi="Times New Roman" w:eastAsia="方正仿宋_GBK" w:cs="Times New Roman"/>
          <w:sz w:val="32"/>
          <w:szCs w:val="32"/>
        </w:rPr>
        <w:t>的参谋、助手和法律顾问的作用，保障政府行政决策的合法性。</w:t>
      </w:r>
    </w:p>
    <w:p>
      <w:pPr>
        <w:pStyle w:val="4"/>
        <w:spacing w:line="600" w:lineRule="exact"/>
        <w:ind w:firstLine="640"/>
        <w:rPr>
          <w:rFonts w:ascii="Times New Roman" w:hAnsi="Times New Roman" w:cs="Times New Roman"/>
          <w:szCs w:val="32"/>
        </w:rPr>
      </w:pPr>
      <w:r>
        <w:rPr>
          <w:rFonts w:ascii="Times New Roman" w:hAnsi="Times New Roman" w:eastAsia="方正楷体_GBK" w:cs="Times New Roman"/>
          <w:szCs w:val="32"/>
        </w:rPr>
        <w:t>（三）进一步</w:t>
      </w:r>
      <w:r>
        <w:rPr>
          <w:rFonts w:hint="eastAsia" w:ascii="Times New Roman" w:hAnsi="Times New Roman" w:eastAsia="方正楷体_GBK" w:cs="Times New Roman"/>
          <w:szCs w:val="32"/>
        </w:rPr>
        <w:t>强化普法宣传，提升</w:t>
      </w:r>
      <w:r>
        <w:rPr>
          <w:rFonts w:ascii="Times New Roman" w:hAnsi="Times New Roman" w:eastAsia="方正楷体_GBK" w:cs="Times New Roman"/>
          <w:szCs w:val="32"/>
        </w:rPr>
        <w:t>普法教育质效</w:t>
      </w:r>
      <w:r>
        <w:rPr>
          <w:rFonts w:hint="eastAsia" w:ascii="Times New Roman" w:hAnsi="Times New Roman" w:eastAsia="方正楷体_GBK" w:cs="Times New Roman"/>
          <w:szCs w:val="32"/>
        </w:rPr>
        <w:t>。</w:t>
      </w:r>
      <w:r>
        <w:rPr>
          <w:rFonts w:ascii="Times New Roman" w:hAnsi="Times New Roman" w:cs="Times New Roman"/>
          <w:kern w:val="0"/>
          <w:szCs w:val="32"/>
        </w:rPr>
        <w:t>拓宽普法广度</w:t>
      </w:r>
      <w:r>
        <w:rPr>
          <w:rFonts w:hint="eastAsia" w:ascii="Times New Roman" w:hAnsi="Times New Roman" w:cs="Times New Roman"/>
          <w:kern w:val="0"/>
          <w:szCs w:val="32"/>
        </w:rPr>
        <w:t>，</w:t>
      </w:r>
      <w:r>
        <w:rPr>
          <w:rFonts w:ascii="Times New Roman" w:hAnsi="Times New Roman" w:cs="Times New Roman"/>
          <w:kern w:val="0"/>
          <w:szCs w:val="32"/>
        </w:rPr>
        <w:t>激励辖区各村居拓宽新媒体普法矩阵、激励加强乡村法治文化建设、激励推进</w:t>
      </w:r>
      <w:r>
        <w:rPr>
          <w:rFonts w:hint="eastAsia" w:ascii="Times New Roman" w:hAnsi="Times New Roman" w:cs="Times New Roman"/>
          <w:kern w:val="0"/>
          <w:szCs w:val="32"/>
        </w:rPr>
        <w:t>“</w:t>
      </w:r>
      <w:r>
        <w:rPr>
          <w:rFonts w:ascii="Times New Roman" w:hAnsi="Times New Roman" w:cs="Times New Roman"/>
          <w:kern w:val="0"/>
          <w:szCs w:val="32"/>
        </w:rPr>
        <w:t>互联网+普法</w:t>
      </w:r>
      <w:r>
        <w:rPr>
          <w:rFonts w:hint="eastAsia" w:ascii="Times New Roman" w:hAnsi="Times New Roman" w:cs="Times New Roman"/>
          <w:kern w:val="0"/>
          <w:szCs w:val="32"/>
        </w:rPr>
        <w:t>”</w:t>
      </w:r>
      <w:r>
        <w:rPr>
          <w:rFonts w:ascii="Times New Roman" w:hAnsi="Times New Roman" w:cs="Times New Roman"/>
          <w:kern w:val="0"/>
          <w:szCs w:val="32"/>
        </w:rPr>
        <w:t>服务平台建设机制，对达成条件的村（社区）给予表彰和考核加分。提</w:t>
      </w:r>
      <w:r>
        <w:rPr>
          <w:rFonts w:hint="eastAsia" w:ascii="Times New Roman" w:hAnsi="Times New Roman" w:cs="Times New Roman"/>
          <w:kern w:val="0"/>
          <w:szCs w:val="32"/>
        </w:rPr>
        <w:t>高</w:t>
      </w:r>
      <w:r>
        <w:rPr>
          <w:rFonts w:ascii="Times New Roman" w:hAnsi="Times New Roman" w:cs="Times New Roman"/>
          <w:kern w:val="0"/>
          <w:szCs w:val="32"/>
        </w:rPr>
        <w:t>普法精度</w:t>
      </w:r>
      <w:r>
        <w:rPr>
          <w:rFonts w:hint="eastAsia" w:ascii="Times New Roman" w:hAnsi="Times New Roman" w:cs="Times New Roman"/>
          <w:kern w:val="0"/>
          <w:szCs w:val="32"/>
        </w:rPr>
        <w:t>，</w:t>
      </w:r>
      <w:r>
        <w:rPr>
          <w:rFonts w:ascii="Times New Roman" w:hAnsi="Times New Roman" w:cs="Times New Roman"/>
          <w:kern w:val="0"/>
          <w:szCs w:val="32"/>
        </w:rPr>
        <w:t>突出针对性，在精准发力上下功夫，在兼顾全体公民普法的同时，进一步突出重点人群普法，提高法治宣传教育的针对性。强化普法深度</w:t>
      </w:r>
      <w:r>
        <w:rPr>
          <w:rFonts w:hint="eastAsia" w:ascii="Times New Roman" w:hAnsi="Times New Roman" w:cs="Times New Roman"/>
          <w:kern w:val="0"/>
          <w:szCs w:val="32"/>
        </w:rPr>
        <w:t>，</w:t>
      </w:r>
      <w:r>
        <w:rPr>
          <w:rFonts w:ascii="Times New Roman" w:hAnsi="Times New Roman" w:cs="Times New Roman"/>
          <w:kern w:val="0"/>
          <w:szCs w:val="32"/>
        </w:rPr>
        <w:t>联合公安局、检察院、法院、司法局等专门机关组建专业普法队伍，针对群众关注的土地林权、婚恋财产、就业保障、邻里侵权等方面开展专门普法，接受群众现场法律咨询，让法律法规走进群众身边，让群众听得懂、悟得透、收获多，为建设平安高家创造更良好的法治环境。</w:t>
      </w:r>
    </w:p>
    <w:p>
      <w:pPr>
        <w:adjustRightInd w:val="0"/>
        <w:snapToGrid w:val="0"/>
        <w:spacing w:line="600" w:lineRule="exact"/>
        <w:ind w:firstLine="640" w:firstLineChars="200"/>
        <w:rPr>
          <w:rFonts w:ascii="Times New Roman" w:hAnsi="Times New Roman"/>
        </w:rPr>
      </w:pPr>
      <w:r>
        <w:rPr>
          <w:rFonts w:ascii="Times New Roman" w:hAnsi="Times New Roman" w:eastAsia="方正楷体_GBK" w:cs="Times New Roman"/>
          <w:color w:val="000000"/>
          <w:sz w:val="32"/>
          <w:szCs w:val="32"/>
          <w:shd w:val="clear" w:color="auto" w:fill="FFFFFF"/>
        </w:rPr>
        <w:t>（</w:t>
      </w:r>
      <w:r>
        <w:rPr>
          <w:rFonts w:hint="eastAsia" w:ascii="Times New Roman" w:hAnsi="Times New Roman" w:eastAsia="方正楷体_GBK" w:cs="Times New Roman"/>
          <w:color w:val="000000"/>
          <w:sz w:val="32"/>
          <w:szCs w:val="32"/>
          <w:shd w:val="clear" w:color="auto" w:fill="FFFFFF"/>
        </w:rPr>
        <w:t>四</w:t>
      </w:r>
      <w:r>
        <w:rPr>
          <w:rFonts w:ascii="Times New Roman" w:hAnsi="Times New Roman" w:eastAsia="方正楷体_GBK" w:cs="Times New Roman"/>
          <w:color w:val="000000"/>
          <w:sz w:val="32"/>
          <w:szCs w:val="32"/>
          <w:shd w:val="clear" w:color="auto" w:fill="FFFFFF"/>
        </w:rPr>
        <w:t>）</w:t>
      </w:r>
      <w:r>
        <w:rPr>
          <w:rFonts w:hint="eastAsia" w:ascii="Times New Roman" w:hAnsi="Times New Roman" w:eastAsia="方正楷体_GBK" w:cs="Times New Roman"/>
          <w:color w:val="000000"/>
          <w:sz w:val="32"/>
          <w:szCs w:val="32"/>
          <w:shd w:val="clear" w:color="auto" w:fill="FFFFFF"/>
        </w:rPr>
        <w:t>进一步</w:t>
      </w:r>
      <w:r>
        <w:rPr>
          <w:rFonts w:ascii="Times New Roman" w:hAnsi="Times New Roman" w:eastAsia="方正楷体_GBK" w:cs="Times New Roman"/>
          <w:color w:val="000000"/>
          <w:sz w:val="32"/>
          <w:szCs w:val="32"/>
          <w:shd w:val="clear" w:color="auto" w:fill="FFFFFF"/>
        </w:rPr>
        <w:t>完善信息公开体系，突显透明性及时效</w:t>
      </w:r>
      <w:r>
        <w:rPr>
          <w:rFonts w:hint="eastAsia" w:ascii="Times New Roman" w:hAnsi="Times New Roman" w:eastAsia="方正楷体_GBK" w:cs="Times New Roman"/>
          <w:color w:val="000000"/>
          <w:sz w:val="32"/>
          <w:szCs w:val="32"/>
          <w:shd w:val="clear" w:color="auto" w:fill="FFFFFF"/>
        </w:rPr>
        <w:t>性。</w:t>
      </w:r>
      <w:r>
        <w:rPr>
          <w:rFonts w:ascii="Times New Roman" w:hAnsi="Times New Roman" w:eastAsia="方正仿宋_GBK" w:cs="Times New Roman"/>
          <w:sz w:val="32"/>
          <w:szCs w:val="32"/>
        </w:rPr>
        <w:t>加</w:t>
      </w:r>
      <w:r>
        <w:rPr>
          <w:rFonts w:hint="eastAsia" w:ascii="Times New Roman" w:hAnsi="Times New Roman" w:eastAsia="方正仿宋_GBK" w:cs="Times New Roman"/>
          <w:sz w:val="32"/>
          <w:szCs w:val="32"/>
        </w:rPr>
        <w:t>强</w:t>
      </w:r>
      <w:r>
        <w:rPr>
          <w:rFonts w:ascii="Times New Roman" w:hAnsi="Times New Roman" w:eastAsia="方正仿宋_GBK" w:cs="Times New Roman"/>
          <w:sz w:val="32"/>
          <w:szCs w:val="32"/>
        </w:rPr>
        <w:t>推进政务公开，认真贯彻执行《</w:t>
      </w:r>
      <w:r>
        <w:rPr>
          <w:rFonts w:hint="eastAsia" w:ascii="Times New Roman" w:hAnsi="Times New Roman" w:eastAsia="方正仿宋_GBK" w:cs="Times New Roman"/>
          <w:sz w:val="32"/>
          <w:szCs w:val="32"/>
        </w:rPr>
        <w:t>中华人民共和国政府信息公开条例</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严格规范信息公开流程，强化</w:t>
      </w:r>
      <w:r>
        <w:rPr>
          <w:rFonts w:hint="eastAsia" w:ascii="Times New Roman" w:hAnsi="Times New Roman" w:eastAsia="方正仿宋_GBK" w:cs="Times New Roman"/>
          <w:sz w:val="32"/>
          <w:szCs w:val="32"/>
        </w:rPr>
        <w:t>信息公开</w:t>
      </w:r>
      <w:r>
        <w:rPr>
          <w:rFonts w:ascii="Times New Roman" w:hAnsi="Times New Roman" w:eastAsia="方正仿宋_GBK" w:cs="Times New Roman"/>
          <w:sz w:val="32"/>
          <w:szCs w:val="32"/>
        </w:rPr>
        <w:t>制度建设，确保政府信息公开工作依规有序进行，并逐渐常态化、制度化。及时完善更新主动公开的政府信息目录，保证公开信息的完整性和准确性，突出重点，将镇重大工作项目、群众关心的热点、难点作为公开重点，提高政务公开工作的质量和水平。</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严格信息发布前审核把关，加强对信息公开内容的审核把关，确保信息准确、权威。</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4A471E"/>
    <w:rsid w:val="00265473"/>
    <w:rsid w:val="005A7208"/>
    <w:rsid w:val="008149C9"/>
    <w:rsid w:val="0089189B"/>
    <w:rsid w:val="008E1C12"/>
    <w:rsid w:val="009312C0"/>
    <w:rsid w:val="00BC757B"/>
    <w:rsid w:val="00CE72AE"/>
    <w:rsid w:val="00F2799B"/>
    <w:rsid w:val="01CF32DE"/>
    <w:rsid w:val="022C3EC2"/>
    <w:rsid w:val="022C6410"/>
    <w:rsid w:val="023B0973"/>
    <w:rsid w:val="025A704C"/>
    <w:rsid w:val="028C61EF"/>
    <w:rsid w:val="02A4476B"/>
    <w:rsid w:val="02B250DA"/>
    <w:rsid w:val="032A4C70"/>
    <w:rsid w:val="032C4E8C"/>
    <w:rsid w:val="036068E4"/>
    <w:rsid w:val="03AE3AF3"/>
    <w:rsid w:val="040556DD"/>
    <w:rsid w:val="045A1585"/>
    <w:rsid w:val="045D1075"/>
    <w:rsid w:val="04AB3B8E"/>
    <w:rsid w:val="04B2316F"/>
    <w:rsid w:val="04C11604"/>
    <w:rsid w:val="05A51A64"/>
    <w:rsid w:val="05B15A37"/>
    <w:rsid w:val="05E627CF"/>
    <w:rsid w:val="06471FDD"/>
    <w:rsid w:val="06D51397"/>
    <w:rsid w:val="06D7510F"/>
    <w:rsid w:val="06F51A39"/>
    <w:rsid w:val="07092333"/>
    <w:rsid w:val="071E1730"/>
    <w:rsid w:val="07C35693"/>
    <w:rsid w:val="07DE28D4"/>
    <w:rsid w:val="07E35D35"/>
    <w:rsid w:val="07EC6998"/>
    <w:rsid w:val="09992B4F"/>
    <w:rsid w:val="0A0D1B9A"/>
    <w:rsid w:val="0A52578D"/>
    <w:rsid w:val="0A960E3D"/>
    <w:rsid w:val="0B3D39AE"/>
    <w:rsid w:val="0B4C599F"/>
    <w:rsid w:val="0BB27EF8"/>
    <w:rsid w:val="0C721436"/>
    <w:rsid w:val="0C9F66CF"/>
    <w:rsid w:val="0CAA0BCF"/>
    <w:rsid w:val="0CAC0DEC"/>
    <w:rsid w:val="0CB3217A"/>
    <w:rsid w:val="0D660F9A"/>
    <w:rsid w:val="0DC12675"/>
    <w:rsid w:val="0DE93979"/>
    <w:rsid w:val="0DF362B8"/>
    <w:rsid w:val="0E770F85"/>
    <w:rsid w:val="0EEF3E30"/>
    <w:rsid w:val="0EFD592E"/>
    <w:rsid w:val="0F4B139A"/>
    <w:rsid w:val="0F4B48EC"/>
    <w:rsid w:val="0F4E1CE6"/>
    <w:rsid w:val="0F696B20"/>
    <w:rsid w:val="0F9022FF"/>
    <w:rsid w:val="0FBA737B"/>
    <w:rsid w:val="1088747A"/>
    <w:rsid w:val="109951E3"/>
    <w:rsid w:val="10AF0EAA"/>
    <w:rsid w:val="10E115B6"/>
    <w:rsid w:val="10E30B54"/>
    <w:rsid w:val="112371A2"/>
    <w:rsid w:val="11551A52"/>
    <w:rsid w:val="11643A43"/>
    <w:rsid w:val="11D0732A"/>
    <w:rsid w:val="12AD1419"/>
    <w:rsid w:val="12AF5192"/>
    <w:rsid w:val="13082AF4"/>
    <w:rsid w:val="130F3E82"/>
    <w:rsid w:val="1319085D"/>
    <w:rsid w:val="13273C73"/>
    <w:rsid w:val="132F1E2E"/>
    <w:rsid w:val="14720225"/>
    <w:rsid w:val="14B4083D"/>
    <w:rsid w:val="14B52807"/>
    <w:rsid w:val="155362A8"/>
    <w:rsid w:val="16331C36"/>
    <w:rsid w:val="163F4A7E"/>
    <w:rsid w:val="170830C2"/>
    <w:rsid w:val="171E28E6"/>
    <w:rsid w:val="173B18D1"/>
    <w:rsid w:val="177469AA"/>
    <w:rsid w:val="17824C23"/>
    <w:rsid w:val="17FD699F"/>
    <w:rsid w:val="183866F2"/>
    <w:rsid w:val="183A374F"/>
    <w:rsid w:val="19173A91"/>
    <w:rsid w:val="19A16B9E"/>
    <w:rsid w:val="19D43730"/>
    <w:rsid w:val="1A6C3968"/>
    <w:rsid w:val="1AE36976"/>
    <w:rsid w:val="1AF37BE5"/>
    <w:rsid w:val="1AFA5418"/>
    <w:rsid w:val="1C7F3E27"/>
    <w:rsid w:val="1CFD55EE"/>
    <w:rsid w:val="1D1125A5"/>
    <w:rsid w:val="1D8A59BD"/>
    <w:rsid w:val="1DCF7CE6"/>
    <w:rsid w:val="1E0F2F88"/>
    <w:rsid w:val="1E25455A"/>
    <w:rsid w:val="1E2D1660"/>
    <w:rsid w:val="1EBF050A"/>
    <w:rsid w:val="1EDB10BC"/>
    <w:rsid w:val="1F046865"/>
    <w:rsid w:val="1F356A1F"/>
    <w:rsid w:val="1F360F1A"/>
    <w:rsid w:val="1F6E1F30"/>
    <w:rsid w:val="1FE03E2B"/>
    <w:rsid w:val="205B24B5"/>
    <w:rsid w:val="206C6470"/>
    <w:rsid w:val="206D21E8"/>
    <w:rsid w:val="20732802"/>
    <w:rsid w:val="22001566"/>
    <w:rsid w:val="22635651"/>
    <w:rsid w:val="226A2E83"/>
    <w:rsid w:val="228F28EA"/>
    <w:rsid w:val="22DF4138"/>
    <w:rsid w:val="23264FFC"/>
    <w:rsid w:val="235356C5"/>
    <w:rsid w:val="23A81FF0"/>
    <w:rsid w:val="23C44815"/>
    <w:rsid w:val="23F549CE"/>
    <w:rsid w:val="242B4894"/>
    <w:rsid w:val="243C34B0"/>
    <w:rsid w:val="248D2E59"/>
    <w:rsid w:val="24F609FE"/>
    <w:rsid w:val="25553977"/>
    <w:rsid w:val="257007B0"/>
    <w:rsid w:val="25761B3F"/>
    <w:rsid w:val="259F4BF2"/>
    <w:rsid w:val="25ED0053"/>
    <w:rsid w:val="25FA2770"/>
    <w:rsid w:val="25FF04CF"/>
    <w:rsid w:val="261849A4"/>
    <w:rsid w:val="26D7660D"/>
    <w:rsid w:val="26F5638E"/>
    <w:rsid w:val="26FD42C6"/>
    <w:rsid w:val="272A2BE1"/>
    <w:rsid w:val="273D2914"/>
    <w:rsid w:val="291678C1"/>
    <w:rsid w:val="29316863"/>
    <w:rsid w:val="294E705B"/>
    <w:rsid w:val="29534671"/>
    <w:rsid w:val="29602110"/>
    <w:rsid w:val="29622B06"/>
    <w:rsid w:val="29B1450A"/>
    <w:rsid w:val="29E21551"/>
    <w:rsid w:val="2A1C2CB5"/>
    <w:rsid w:val="2A1C78D0"/>
    <w:rsid w:val="2A8C4F5A"/>
    <w:rsid w:val="2ABE5B1A"/>
    <w:rsid w:val="2AE61515"/>
    <w:rsid w:val="2AEA4B61"/>
    <w:rsid w:val="2AFB4FC0"/>
    <w:rsid w:val="2B2D2CA0"/>
    <w:rsid w:val="2B6C1A1A"/>
    <w:rsid w:val="2BD15D21"/>
    <w:rsid w:val="2C714E0E"/>
    <w:rsid w:val="2CCE5072"/>
    <w:rsid w:val="2D4078FE"/>
    <w:rsid w:val="2E271C28"/>
    <w:rsid w:val="2E734E6D"/>
    <w:rsid w:val="2F9E0187"/>
    <w:rsid w:val="2FB13E9F"/>
    <w:rsid w:val="2FCC2A87"/>
    <w:rsid w:val="2FDB716E"/>
    <w:rsid w:val="30A9726C"/>
    <w:rsid w:val="30C3032E"/>
    <w:rsid w:val="315B2062"/>
    <w:rsid w:val="318F6462"/>
    <w:rsid w:val="31A6555A"/>
    <w:rsid w:val="31D43E75"/>
    <w:rsid w:val="31FB7654"/>
    <w:rsid w:val="336013B5"/>
    <w:rsid w:val="33704071"/>
    <w:rsid w:val="33775400"/>
    <w:rsid w:val="33791178"/>
    <w:rsid w:val="337A7E8B"/>
    <w:rsid w:val="33B421B0"/>
    <w:rsid w:val="340C3D9A"/>
    <w:rsid w:val="3431735D"/>
    <w:rsid w:val="34B47F8E"/>
    <w:rsid w:val="34C226AB"/>
    <w:rsid w:val="34D83C7C"/>
    <w:rsid w:val="34EB7E53"/>
    <w:rsid w:val="34F478AC"/>
    <w:rsid w:val="35216856"/>
    <w:rsid w:val="35CF1523"/>
    <w:rsid w:val="35DB7EC8"/>
    <w:rsid w:val="35FF348B"/>
    <w:rsid w:val="36341386"/>
    <w:rsid w:val="36343134"/>
    <w:rsid w:val="36FA25D0"/>
    <w:rsid w:val="37180CA8"/>
    <w:rsid w:val="378305CF"/>
    <w:rsid w:val="37CA561C"/>
    <w:rsid w:val="38233460"/>
    <w:rsid w:val="38743CBC"/>
    <w:rsid w:val="388F6D48"/>
    <w:rsid w:val="389E6F8B"/>
    <w:rsid w:val="38AF73EA"/>
    <w:rsid w:val="391A0D07"/>
    <w:rsid w:val="392456E2"/>
    <w:rsid w:val="39882115"/>
    <w:rsid w:val="39D569DC"/>
    <w:rsid w:val="3AB24F6F"/>
    <w:rsid w:val="3BA0301A"/>
    <w:rsid w:val="3C0B4937"/>
    <w:rsid w:val="3C3D6ABB"/>
    <w:rsid w:val="3C616C4D"/>
    <w:rsid w:val="3C7C5835"/>
    <w:rsid w:val="3C85293C"/>
    <w:rsid w:val="3CCA2A44"/>
    <w:rsid w:val="3CEC29BB"/>
    <w:rsid w:val="3D006466"/>
    <w:rsid w:val="3D424389"/>
    <w:rsid w:val="3D5B369C"/>
    <w:rsid w:val="3DC56D68"/>
    <w:rsid w:val="3ED03C16"/>
    <w:rsid w:val="3F0264C5"/>
    <w:rsid w:val="3F3A78A4"/>
    <w:rsid w:val="3F8A2017"/>
    <w:rsid w:val="3F966C0E"/>
    <w:rsid w:val="3FA07A8C"/>
    <w:rsid w:val="3FE060DB"/>
    <w:rsid w:val="40B41A41"/>
    <w:rsid w:val="40C559FD"/>
    <w:rsid w:val="412A5860"/>
    <w:rsid w:val="41CA2B9F"/>
    <w:rsid w:val="42044303"/>
    <w:rsid w:val="424D3EFC"/>
    <w:rsid w:val="4253528A"/>
    <w:rsid w:val="42C615B8"/>
    <w:rsid w:val="42F75C15"/>
    <w:rsid w:val="42FC147E"/>
    <w:rsid w:val="431A2380"/>
    <w:rsid w:val="437B23A2"/>
    <w:rsid w:val="4383394D"/>
    <w:rsid w:val="43E02B4D"/>
    <w:rsid w:val="43E22422"/>
    <w:rsid w:val="44307631"/>
    <w:rsid w:val="44427364"/>
    <w:rsid w:val="447119F7"/>
    <w:rsid w:val="448B0D0B"/>
    <w:rsid w:val="453B44DF"/>
    <w:rsid w:val="459975D1"/>
    <w:rsid w:val="45A858ED"/>
    <w:rsid w:val="46096C78"/>
    <w:rsid w:val="462E4D32"/>
    <w:rsid w:val="463D4287"/>
    <w:rsid w:val="46B21C2E"/>
    <w:rsid w:val="46CF3B95"/>
    <w:rsid w:val="46DD5122"/>
    <w:rsid w:val="472965B9"/>
    <w:rsid w:val="47A345BE"/>
    <w:rsid w:val="47A40644"/>
    <w:rsid w:val="48112003"/>
    <w:rsid w:val="4823125B"/>
    <w:rsid w:val="4839608B"/>
    <w:rsid w:val="486310D9"/>
    <w:rsid w:val="48FF75D2"/>
    <w:rsid w:val="493A2D00"/>
    <w:rsid w:val="494D2A33"/>
    <w:rsid w:val="49697141"/>
    <w:rsid w:val="49755AE6"/>
    <w:rsid w:val="49CA4084"/>
    <w:rsid w:val="49CF3448"/>
    <w:rsid w:val="4B6127C6"/>
    <w:rsid w:val="4BF058F8"/>
    <w:rsid w:val="4BF50E1B"/>
    <w:rsid w:val="4C3D6D8F"/>
    <w:rsid w:val="4C453E95"/>
    <w:rsid w:val="4CC0176E"/>
    <w:rsid w:val="4D096C71"/>
    <w:rsid w:val="4D783DF7"/>
    <w:rsid w:val="4DB210B7"/>
    <w:rsid w:val="4DC66910"/>
    <w:rsid w:val="4DFC4A28"/>
    <w:rsid w:val="4E1C29D4"/>
    <w:rsid w:val="4E355844"/>
    <w:rsid w:val="4E8858D0"/>
    <w:rsid w:val="4EAF1A9A"/>
    <w:rsid w:val="4EEC05F8"/>
    <w:rsid w:val="4EEE4370"/>
    <w:rsid w:val="4F2E6E63"/>
    <w:rsid w:val="4FA50603"/>
    <w:rsid w:val="4FBD1F95"/>
    <w:rsid w:val="4FC9093A"/>
    <w:rsid w:val="4FDC68BF"/>
    <w:rsid w:val="4FF27E90"/>
    <w:rsid w:val="50153B7F"/>
    <w:rsid w:val="50964CC0"/>
    <w:rsid w:val="50F6575E"/>
    <w:rsid w:val="510A120A"/>
    <w:rsid w:val="518C60C3"/>
    <w:rsid w:val="51BF1FF4"/>
    <w:rsid w:val="51C27D36"/>
    <w:rsid w:val="51D35A9F"/>
    <w:rsid w:val="52844147"/>
    <w:rsid w:val="528E743C"/>
    <w:rsid w:val="52E15F9A"/>
    <w:rsid w:val="52E71802"/>
    <w:rsid w:val="530C3017"/>
    <w:rsid w:val="53117222"/>
    <w:rsid w:val="538434F5"/>
    <w:rsid w:val="547E6196"/>
    <w:rsid w:val="5495528E"/>
    <w:rsid w:val="54F2623D"/>
    <w:rsid w:val="551408A9"/>
    <w:rsid w:val="5552317F"/>
    <w:rsid w:val="5553191B"/>
    <w:rsid w:val="55EC35D4"/>
    <w:rsid w:val="560B1D47"/>
    <w:rsid w:val="56A714EB"/>
    <w:rsid w:val="56BA0FDC"/>
    <w:rsid w:val="570A3D11"/>
    <w:rsid w:val="575925A3"/>
    <w:rsid w:val="584119B5"/>
    <w:rsid w:val="58AD704A"/>
    <w:rsid w:val="5901573D"/>
    <w:rsid w:val="59441031"/>
    <w:rsid w:val="59835FFD"/>
    <w:rsid w:val="59B937CD"/>
    <w:rsid w:val="59EE791A"/>
    <w:rsid w:val="5A472CD2"/>
    <w:rsid w:val="5A582FE6"/>
    <w:rsid w:val="5A7F4A16"/>
    <w:rsid w:val="5B653C0C"/>
    <w:rsid w:val="5BDF57A1"/>
    <w:rsid w:val="5E750BC4"/>
    <w:rsid w:val="5E810C58"/>
    <w:rsid w:val="5F4F0E5B"/>
    <w:rsid w:val="5FBC5DC5"/>
    <w:rsid w:val="5FF925C6"/>
    <w:rsid w:val="610B7004"/>
    <w:rsid w:val="617C3A5E"/>
    <w:rsid w:val="61CE3B8D"/>
    <w:rsid w:val="6372336A"/>
    <w:rsid w:val="637966B4"/>
    <w:rsid w:val="64254B63"/>
    <w:rsid w:val="64412D3D"/>
    <w:rsid w:val="65150451"/>
    <w:rsid w:val="65660CAD"/>
    <w:rsid w:val="666B22F3"/>
    <w:rsid w:val="668D2269"/>
    <w:rsid w:val="67B6134C"/>
    <w:rsid w:val="67CD5013"/>
    <w:rsid w:val="67D619EE"/>
    <w:rsid w:val="68376930"/>
    <w:rsid w:val="68662D72"/>
    <w:rsid w:val="687A4A6F"/>
    <w:rsid w:val="68DE4FFE"/>
    <w:rsid w:val="68F93BE6"/>
    <w:rsid w:val="6909349A"/>
    <w:rsid w:val="6938470E"/>
    <w:rsid w:val="69FF347E"/>
    <w:rsid w:val="6A1F767C"/>
    <w:rsid w:val="6ABF49BB"/>
    <w:rsid w:val="6AE00865"/>
    <w:rsid w:val="6B43739A"/>
    <w:rsid w:val="6B8005EE"/>
    <w:rsid w:val="6BCE6E84"/>
    <w:rsid w:val="6BF8101C"/>
    <w:rsid w:val="6C164AAF"/>
    <w:rsid w:val="6C1A00FB"/>
    <w:rsid w:val="6C553829"/>
    <w:rsid w:val="6C9D2BC4"/>
    <w:rsid w:val="6CA81BAB"/>
    <w:rsid w:val="6CB1418F"/>
    <w:rsid w:val="6DAA40B7"/>
    <w:rsid w:val="6DEE6C91"/>
    <w:rsid w:val="6E3556C0"/>
    <w:rsid w:val="6E82642B"/>
    <w:rsid w:val="6EB20ABF"/>
    <w:rsid w:val="6F1352D6"/>
    <w:rsid w:val="6F2D6397"/>
    <w:rsid w:val="6F6F075E"/>
    <w:rsid w:val="6F8A37EA"/>
    <w:rsid w:val="6F96218E"/>
    <w:rsid w:val="6F987EA6"/>
    <w:rsid w:val="6FD11419"/>
    <w:rsid w:val="6FEA072C"/>
    <w:rsid w:val="70096E04"/>
    <w:rsid w:val="703B0518"/>
    <w:rsid w:val="70F5124E"/>
    <w:rsid w:val="70FB0C71"/>
    <w:rsid w:val="71096990"/>
    <w:rsid w:val="71866233"/>
    <w:rsid w:val="71A566B9"/>
    <w:rsid w:val="71E52F59"/>
    <w:rsid w:val="726227FC"/>
    <w:rsid w:val="72751B93"/>
    <w:rsid w:val="72B648F6"/>
    <w:rsid w:val="72BA43E6"/>
    <w:rsid w:val="73B250BD"/>
    <w:rsid w:val="73EB05CF"/>
    <w:rsid w:val="744A3547"/>
    <w:rsid w:val="744A471E"/>
    <w:rsid w:val="749F1AE5"/>
    <w:rsid w:val="74EC2851"/>
    <w:rsid w:val="750162FC"/>
    <w:rsid w:val="751F2C26"/>
    <w:rsid w:val="75A60C51"/>
    <w:rsid w:val="75EF43A6"/>
    <w:rsid w:val="764A5A81"/>
    <w:rsid w:val="76D96E05"/>
    <w:rsid w:val="77453774"/>
    <w:rsid w:val="777C610E"/>
    <w:rsid w:val="77935205"/>
    <w:rsid w:val="77D9530E"/>
    <w:rsid w:val="77DB67A7"/>
    <w:rsid w:val="784B5AE0"/>
    <w:rsid w:val="78BB2A2B"/>
    <w:rsid w:val="78C338C8"/>
    <w:rsid w:val="78C85B67"/>
    <w:rsid w:val="790F6B0E"/>
    <w:rsid w:val="79856DD0"/>
    <w:rsid w:val="79927E6B"/>
    <w:rsid w:val="7A0A7462"/>
    <w:rsid w:val="7A17211E"/>
    <w:rsid w:val="7A4B626B"/>
    <w:rsid w:val="7A57076C"/>
    <w:rsid w:val="7A5944E4"/>
    <w:rsid w:val="7A6335B5"/>
    <w:rsid w:val="7A910122"/>
    <w:rsid w:val="7B426B4F"/>
    <w:rsid w:val="7BF22E42"/>
    <w:rsid w:val="7C0A4E48"/>
    <w:rsid w:val="7C857813"/>
    <w:rsid w:val="7CF95B0B"/>
    <w:rsid w:val="7D344D95"/>
    <w:rsid w:val="7D3B21D6"/>
    <w:rsid w:val="7D5B67C5"/>
    <w:rsid w:val="7D6513F2"/>
    <w:rsid w:val="7D717D97"/>
    <w:rsid w:val="7DA32247"/>
    <w:rsid w:val="7DF033B2"/>
    <w:rsid w:val="7E17270A"/>
    <w:rsid w:val="7E827192"/>
    <w:rsid w:val="7F2F3A66"/>
    <w:rsid w:val="7F800765"/>
    <w:rsid w:val="7FA53D28"/>
    <w:rsid w:val="7FE02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rPr>
  </w:style>
  <w:style w:type="paragraph" w:styleId="4">
    <w:name w:val="Normal Indent"/>
    <w:basedOn w:val="1"/>
    <w:unhideWhenUsed/>
    <w:qFormat/>
    <w:uiPriority w:val="99"/>
    <w:pPr>
      <w:ind w:firstLine="420" w:firstLineChars="200"/>
    </w:pPr>
    <w:rPr>
      <w:rFonts w:eastAsia="方正仿宋_GBK"/>
      <w:sz w:val="32"/>
      <w:szCs w:val="20"/>
    </w:rPr>
  </w:style>
  <w:style w:type="paragraph" w:styleId="5">
    <w:name w:val="Body Text"/>
    <w:basedOn w:val="1"/>
    <w:qFormat/>
    <w:uiPriority w:val="0"/>
    <w:pPr>
      <w:spacing w:after="120"/>
    </w:p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Title"/>
    <w:basedOn w:val="1"/>
    <w:next w:val="1"/>
    <w:qFormat/>
    <w:uiPriority w:val="0"/>
    <w:pPr>
      <w:spacing w:before="240" w:after="60"/>
      <w:jc w:val="center"/>
      <w:outlineLvl w:val="0"/>
    </w:pPr>
    <w:rPr>
      <w:rFonts w:ascii="Cambria" w:hAnsi="Cambria" w:cs="Times New Roman"/>
      <w:b/>
      <w:bCs/>
      <w:szCs w:val="32"/>
    </w:rPr>
  </w:style>
  <w:style w:type="paragraph" w:styleId="8">
    <w:name w:val="Body Text First Indent"/>
    <w:basedOn w:val="5"/>
    <w:qFormat/>
    <w:uiPriority w:val="0"/>
    <w:pPr>
      <w:ind w:firstLine="420" w:firstLineChars="100"/>
    </w:pPr>
  </w:style>
  <w:style w:type="paragraph" w:customStyle="1" w:styleId="11">
    <w:name w:val="政府1"/>
    <w:basedOn w:val="1"/>
    <w:next w:val="8"/>
    <w:qFormat/>
    <w:uiPriority w:val="0"/>
    <w:pPr>
      <w:spacing w:line="600" w:lineRule="exact"/>
    </w:pPr>
    <w:rPr>
      <w:rFonts w:hint="eastAsia" w:ascii="Times New Roman" w:hAnsi="Times New Roman" w:eastAsia="方正仿宋_GBK" w:cs="Times New Roman"/>
      <w:sz w:val="32"/>
    </w:rPr>
  </w:style>
  <w:style w:type="paragraph" w:customStyle="1" w:styleId="12">
    <w:name w:val="默认"/>
    <w:qFormat/>
    <w:uiPriority w:val="0"/>
    <w:rPr>
      <w:rFonts w:ascii="Helvetica" w:hAnsi="Helvetica" w:eastAsia="Helvetica" w:cs="Times New Roman"/>
      <w:color w:val="000000"/>
      <w:sz w:val="32"/>
      <w:szCs w:val="32"/>
      <w:lang w:val="en-US" w:eastAsia="zh-CN" w:bidi="ar-SA"/>
    </w:rPr>
  </w:style>
  <w:style w:type="paragraph" w:customStyle="1" w:styleId="13">
    <w:name w:val="Default"/>
    <w:next w:val="7"/>
    <w:qFormat/>
    <w:uiPriority w:val="99"/>
    <w:pPr>
      <w:widowControl w:val="0"/>
      <w:jc w:val="both"/>
    </w:pPr>
    <w:rPr>
      <w:rFonts w:ascii="仿宋_GB2312" w:hAnsi="仿宋_GB2312" w:eastAsia="仿宋_GB2312" w:cs="仿宋_GB2312"/>
      <w:color w:val="000000"/>
      <w:sz w:val="24"/>
      <w:szCs w:val="24"/>
      <w:lang w:val="en-US" w:eastAsia="zh-CN" w:bidi="ar-SA"/>
    </w:rPr>
  </w:style>
  <w:style w:type="paragraph" w:customStyle="1" w:styleId="14">
    <w:name w:val="标题 11"/>
    <w:basedOn w:val="1"/>
    <w:qFormat/>
    <w:uiPriority w:val="1"/>
    <w:pPr>
      <w:spacing w:before="102"/>
      <w:ind w:left="674"/>
      <w:outlineLvl w:val="1"/>
    </w:pPr>
    <w:rPr>
      <w:rFonts w:ascii="楷体_GB2312" w:hAnsi="楷体_GB2312" w:eastAsia="楷体_GB2312" w:cs="楷体_GB2312"/>
      <w:b/>
      <w:bCs/>
      <w:sz w:val="28"/>
      <w:szCs w:val="28"/>
    </w:rPr>
  </w:style>
  <w:style w:type="paragraph" w:styleId="15">
    <w:name w:val="List Paragraph"/>
    <w:basedOn w:val="1"/>
    <w:qFormat/>
    <w:uiPriority w:val="1"/>
    <w:pPr>
      <w:spacing w:before="102"/>
      <w:ind w:left="112" w:firstLine="561"/>
    </w:pPr>
    <w:rPr>
      <w:rFonts w:ascii="仿宋_GB2312" w:hAnsi="仿宋_GB2312" w:eastAsia="仿宋_GB2312" w:cs="仿宋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4385</Words>
  <Characters>4472</Characters>
  <Lines>32</Lines>
  <Paragraphs>9</Paragraphs>
  <TotalTime>10</TotalTime>
  <ScaleCrop>false</ScaleCrop>
  <LinksUpToDate>false</LinksUpToDate>
  <CharactersWithSpaces>4506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2025-02-24T01:30:00Z</dcterms:created>
  <dc:creator>曾凡勇</dc:creator>
  <cp:lastModifiedBy>联想电脑丰都旗舰专卖店</cp:lastModifiedBy>
  <cp:lastPrinted>2025-02-27T02:54:00Z</cp:lastPrinted>
  <dcterms:modified xsi:type="dcterms:W3CDTF">2025-03-03T03:18:51Z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969CA53DBABF4F619797E1471490FB85_13</vt:lpwstr>
  </property>
  <property fmtid="{D5CDD505-2E9C-101B-9397-08002B2CF9AE}" pid="4" name="KSOTemplateDocerSaveRecord">
    <vt:lpwstr>eyJoZGlkIjoiNTQ0MzFmMjRlNTc2ODNhMmJhNDcwMzIzNzkzZjMxZTUiLCJ1c2VySWQiOiIzMDM5NjQ5ODgifQ==</vt:lpwstr>
  </property>
</Properties>
</file>