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Times New Roman" w:hAnsi="Times New Roman" w:eastAsia="方正仿宋_GBK" w:cs="Times New Roman"/>
        </w:rPr>
      </w:pPr>
    </w:p>
    <w:p>
      <w:pPr>
        <w:spacing w:line="570" w:lineRule="exact"/>
        <w:rPr>
          <w:rFonts w:hint="eastAsia" w:ascii="Times New Roman" w:hAnsi="Times New Roman" w:eastAsia="方正仿宋_GBK" w:cs="Times New Roman"/>
        </w:rPr>
      </w:pPr>
    </w:p>
    <w:p>
      <w:pPr>
        <w:spacing w:line="570" w:lineRule="exact"/>
        <w:rPr>
          <w:rFonts w:hint="eastAsia" w:ascii="Times New Roman" w:hAnsi="Times New Roman" w:eastAsia="方正仿宋_GBK" w:cs="Times New Roman"/>
        </w:rPr>
      </w:pPr>
    </w:p>
    <w:p>
      <w:pPr>
        <w:spacing w:line="570" w:lineRule="exact"/>
        <w:rPr>
          <w:rFonts w:ascii="Times New Roman" w:hAnsi="Times New Roman" w:eastAsia="方正仿宋_GBK" w:cs="Times New Roman"/>
        </w:rPr>
      </w:pPr>
    </w:p>
    <w:p>
      <w:pPr>
        <w:spacing w:line="570" w:lineRule="exact"/>
        <w:jc w:val="center"/>
        <w:rPr>
          <w:rFonts w:ascii="Times New Roman" w:hAnsi="Times New Roman" w:eastAsia="方正仿宋_GBK" w:cs="Times New Roman"/>
          <w:sz w:val="32"/>
          <w:szCs w:val="32"/>
          <w:lang w:bidi="ar"/>
        </w:rPr>
      </w:pPr>
      <w:r>
        <w:rPr>
          <w:rFonts w:hint="eastAsia" w:ascii="方正小标宋_GBK" w:hAnsi="方正小标宋_GBK" w:eastAsia="方正小标宋_GBK" w:cs="方正小标宋_GBK"/>
        </w:rPr>
        <w:pict>
          <v:shape id="_x0000_s1028" o:spid="_x0000_s1028" o:spt="136" type="#_x0000_t136" style="position:absolute;left:0pt;margin-left:92.15pt;margin-top:99.25pt;height:51pt;width:411pt;mso-position-horizontal-relative:page;mso-position-vertical-relative:margin;z-index:251662336;mso-width-relative:page;mso-height-relative:page;" fillcolor="#FF0000" filled="t" stroked="f" coordsize="21600,21600">
            <v:path/>
            <v:fill on="t" focussize="0,0"/>
            <v:stroke on="f"/>
            <v:imagedata o:title=""/>
            <o:lock v:ext="edit" grouping="f" rotation="f" text="f" aspectratio="f"/>
            <v:textpath on="t" fitshape="t" fitpath="t" trim="t" xscale="f" string="丰都县发展和改革委员会文件" style="font-family:方正小标宋_GBK;font-size:36pt;font-weight:bold;v-text-align:center;"/>
          </v:shape>
        </w:pict>
      </w:r>
    </w:p>
    <w:p>
      <w:pPr>
        <w:spacing w:line="570" w:lineRule="exact"/>
        <w:jc w:val="center"/>
        <w:rPr>
          <w:rFonts w:ascii="Times New Roman" w:hAnsi="Times New Roman" w:eastAsia="方正仿宋_GBK" w:cs="Times New Roman"/>
          <w:sz w:val="32"/>
          <w:szCs w:val="32"/>
          <w:lang w:bidi="ar"/>
        </w:rPr>
      </w:pPr>
    </w:p>
    <w:p>
      <w:pPr>
        <w:spacing w:line="570" w:lineRule="exact"/>
        <w:jc w:val="center"/>
        <w:rPr>
          <w:rFonts w:ascii="Times New Roman" w:hAnsi="Times New Roman" w:eastAsia="方正仿宋_GBK" w:cs="Times New Roman"/>
          <w:sz w:val="32"/>
          <w:szCs w:val="32"/>
          <w:lang w:bidi="ar"/>
        </w:rPr>
      </w:pPr>
    </w:p>
    <w:p>
      <w:pPr>
        <w:spacing w:line="570" w:lineRule="exact"/>
        <w:jc w:val="center"/>
        <w:rPr>
          <w:rFonts w:hint="eastAsia" w:ascii="Times New Roman" w:hAnsi="Times New Roman" w:eastAsia="方正仿宋_GBK"/>
          <w:sz w:val="44"/>
          <w:szCs w:val="44"/>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971550</wp:posOffset>
                </wp:positionH>
                <wp:positionV relativeFrom="margin">
                  <wp:posOffset>2893060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pt;margin-top:227.8pt;height:0pt;width:442.2pt;mso-position-horizontal-relative:page;mso-position-vertical-relative:margin;z-index:251661312;mso-width-relative:page;mso-height-relative:page;" filled="f" stroked="t" coordsize="21600,21600" o:gfxdata="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vVmdkAAAAMAQAADwAAAAAAAAABACAAAAAiAAAAZHJzL2Rvd25yZXYu&#10;eG1sUEsBAhQAFAAAAAgAh07iQNnuvzn6AQAA8wMAAA4AAAAAAAAAAQAgAAAAKAEAAGRycy9lMm9E&#10;b2MueG1sUEsFBgAAAAAGAAYAWQEAAJQFAAAAAA==&#10;">
                <v:fill on="f" focussize="0,0"/>
                <v:stroke weight="1.75pt" color="#FF0000" joinstyle="round"/>
                <v:imagedata o:title=""/>
                <o:lock v:ext="edit" aspectratio="f"/>
              </v:line>
            </w:pict>
          </mc:Fallback>
        </mc:AlternateContent>
      </w:r>
      <w:r>
        <w:rPr>
          <w:rFonts w:ascii="Times New Roman" w:hAnsi="Times New Roman" w:eastAsia="方正仿宋_GBK" w:cs="Times New Roman"/>
          <w:sz w:val="32"/>
          <w:szCs w:val="32"/>
          <w:lang w:bidi="ar"/>
        </w:rPr>
        <w:t>丰都发改委发</w:t>
      </w:r>
      <w:r>
        <w:rPr>
          <w:rFonts w:ascii="Times New Roman" w:hAnsi="方正仿宋_GBK" w:eastAsia="方正仿宋_GBK" w:cs="Times New Roman"/>
          <w:sz w:val="32"/>
          <w:szCs w:val="32"/>
          <w:lang w:bidi="ar"/>
        </w:rPr>
        <w:t>〔</w:t>
      </w:r>
      <w:r>
        <w:rPr>
          <w:rFonts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2</w:t>
      </w:r>
      <w:r>
        <w:rPr>
          <w:rFonts w:ascii="Times New Roman" w:hAnsi="方正仿宋_GBK" w:eastAsia="方正仿宋_GBK" w:cs="Times New Roman"/>
          <w:sz w:val="32"/>
          <w:szCs w:val="32"/>
          <w:lang w:bidi="ar"/>
        </w:rPr>
        <w:t>〕</w:t>
      </w:r>
      <w:r>
        <w:rPr>
          <w:rFonts w:hint="eastAsia" w:hAnsi="方正仿宋_GBK" w:cs="Times New Roman"/>
          <w:sz w:val="32"/>
          <w:szCs w:val="32"/>
          <w:lang w:val="en-US" w:eastAsia="zh-CN" w:bidi="ar"/>
        </w:rPr>
        <w:t>294</w:t>
      </w:r>
      <w:r>
        <w:rPr>
          <w:rFonts w:ascii="Times New Roman" w:hAnsi="方正仿宋_GBK" w:eastAsia="方正仿宋_GBK" w:cs="Times New Roman"/>
          <w:sz w:val="32"/>
          <w:szCs w:val="32"/>
          <w:lang w:bidi="ar"/>
        </w:rPr>
        <w:t>号</w:t>
      </w:r>
    </w:p>
    <w:p>
      <w:pPr>
        <w:spacing w:line="570" w:lineRule="exact"/>
        <w:jc w:val="center"/>
        <w:rPr>
          <w:rFonts w:hint="eastAsia" w:ascii="Times New Roman" w:hAnsi="Times New Roman" w:eastAsia="方正仿宋_GBK"/>
          <w:sz w:val="44"/>
          <w:szCs w:val="44"/>
        </w:rPr>
      </w:pPr>
    </w:p>
    <w:p>
      <w:pPr>
        <w:snapToGrid w:val="0"/>
        <w:spacing w:line="570" w:lineRule="exact"/>
        <w:jc w:val="center"/>
        <w:rPr>
          <w:rFonts w:hint="eastAsia" w:ascii="方正小标宋_GBK" w:hAnsi="方正小标宋_GBK" w:eastAsia="方正小标宋_GBK" w:cs="方正小标宋_GBK"/>
          <w:kern w:val="28"/>
          <w:sz w:val="44"/>
          <w:szCs w:val="44"/>
          <w:lang w:bidi="ar"/>
        </w:rPr>
      </w:pPr>
      <w:r>
        <w:rPr>
          <w:rFonts w:hint="eastAsia" w:ascii="方正小标宋_GBK" w:hAnsi="方正小标宋_GBK" w:eastAsia="方正小标宋_GBK" w:cs="方正小标宋_GBK"/>
          <w:kern w:val="28"/>
          <w:sz w:val="44"/>
          <w:szCs w:val="44"/>
          <w:lang w:bidi="ar"/>
        </w:rPr>
        <w:t>丰都县发展和改革委员会</w:t>
      </w:r>
    </w:p>
    <w:p>
      <w:pPr>
        <w:snapToGrid w:val="0"/>
        <w:spacing w:line="570" w:lineRule="exact"/>
        <w:jc w:val="center"/>
        <w:rPr>
          <w:rFonts w:hint="eastAsia" w:ascii="方正小标宋_GBK" w:hAnsi="方正小标宋_GBK" w:eastAsia="方正小标宋_GBK" w:cs="方正小标宋_GBK"/>
          <w:kern w:val="28"/>
          <w:sz w:val="44"/>
          <w:szCs w:val="44"/>
          <w:lang w:bidi="ar"/>
        </w:rPr>
      </w:pPr>
      <w:r>
        <w:rPr>
          <w:rFonts w:hint="eastAsia" w:eastAsia="方正小标宋_GBK"/>
          <w:spacing w:val="20"/>
          <w:kern w:val="2"/>
          <w:sz w:val="44"/>
          <w:szCs w:val="44"/>
          <w:lang w:val="en-US" w:eastAsia="zh-CN"/>
        </w:rPr>
        <w:t>丰都县</w:t>
      </w:r>
      <w:r>
        <w:rPr>
          <w:rFonts w:hint="eastAsia" w:eastAsia="方正小标宋_GBK"/>
          <w:spacing w:val="20"/>
          <w:kern w:val="2"/>
          <w:sz w:val="44"/>
          <w:szCs w:val="44"/>
        </w:rPr>
        <w:t>市场监督管理局</w:t>
      </w:r>
    </w:p>
    <w:p>
      <w:pPr>
        <w:spacing w:line="57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bidi="ar"/>
        </w:rPr>
        <w:t>关于</w:t>
      </w:r>
      <w:r>
        <w:rPr>
          <w:rFonts w:hint="eastAsia" w:ascii="方正小标宋_GBK" w:hAnsi="方正小标宋_GBK" w:eastAsia="方正小标宋_GBK" w:cs="方正小标宋_GBK"/>
          <w:kern w:val="28"/>
          <w:sz w:val="44"/>
          <w:szCs w:val="44"/>
          <w:lang w:bidi="ar"/>
        </w:rPr>
        <w:t>转发</w:t>
      </w:r>
      <w:r>
        <w:rPr>
          <w:rFonts w:hint="eastAsia" w:eastAsia="方正小标宋_GBK"/>
          <w:kern w:val="2"/>
          <w:sz w:val="44"/>
          <w:szCs w:val="44"/>
        </w:rPr>
        <w:t>重庆市发展和改革委员会</w:t>
      </w:r>
      <w:r>
        <w:rPr>
          <w:rFonts w:hint="eastAsia" w:eastAsia="方正小标宋_GBK"/>
          <w:kern w:val="2"/>
          <w:sz w:val="44"/>
          <w:szCs w:val="44"/>
          <w:lang w:val="en-US" w:eastAsia="zh-CN"/>
        </w:rPr>
        <w:t xml:space="preserve"> </w:t>
      </w:r>
      <w:r>
        <w:rPr>
          <w:rFonts w:hint="eastAsia" w:eastAsia="方正小标宋_GBK"/>
          <w:spacing w:val="20"/>
          <w:kern w:val="2"/>
          <w:sz w:val="44"/>
          <w:szCs w:val="44"/>
        </w:rPr>
        <w:t>重庆市市场监督管理局</w:t>
      </w:r>
      <w:r>
        <w:rPr>
          <w:rFonts w:hint="eastAsia" w:eastAsia="方正小标宋_GBK"/>
          <w:kern w:val="2"/>
          <w:sz w:val="44"/>
          <w:szCs w:val="44"/>
          <w:u w:val="none"/>
        </w:rPr>
        <w:t>印发</w:t>
      </w:r>
      <w:r>
        <w:rPr>
          <w:rFonts w:eastAsia="方正小标宋_GBK"/>
          <w:kern w:val="2"/>
          <w:sz w:val="44"/>
          <w:szCs w:val="44"/>
          <w:u w:val="none"/>
        </w:rPr>
        <w:t>《贯彻落实</w:t>
      </w:r>
      <w:r>
        <w:rPr>
          <w:rFonts w:hint="eastAsia" w:eastAsia="方正小标宋_GBK"/>
          <w:kern w:val="2"/>
          <w:sz w:val="44"/>
          <w:szCs w:val="44"/>
          <w:u w:val="none"/>
        </w:rPr>
        <w:t>〈中共中央</w:t>
      </w:r>
      <w:r>
        <w:rPr>
          <w:rFonts w:eastAsia="方正小标宋_GBK"/>
          <w:kern w:val="2"/>
          <w:sz w:val="44"/>
          <w:szCs w:val="44"/>
          <w:u w:val="none"/>
          <w:lang w:val="en"/>
        </w:rPr>
        <w:t xml:space="preserve"> </w:t>
      </w:r>
      <w:r>
        <w:rPr>
          <w:rFonts w:hint="eastAsia" w:eastAsia="方正小标宋_GBK"/>
          <w:kern w:val="2"/>
          <w:sz w:val="44"/>
          <w:szCs w:val="44"/>
          <w:u w:val="none"/>
        </w:rPr>
        <w:t>国务院</w:t>
      </w:r>
      <w:r>
        <w:rPr>
          <w:rFonts w:eastAsia="方正小标宋_GBK"/>
          <w:kern w:val="2"/>
          <w:sz w:val="44"/>
          <w:szCs w:val="44"/>
          <w:u w:val="none"/>
        </w:rPr>
        <w:t>关于加快建设全国统一大市场的意见</w:t>
      </w:r>
      <w:r>
        <w:rPr>
          <w:rFonts w:hint="eastAsia" w:eastAsia="方正小标宋_GBK"/>
          <w:kern w:val="2"/>
          <w:sz w:val="44"/>
          <w:szCs w:val="44"/>
          <w:u w:val="none"/>
        </w:rPr>
        <w:t>〉</w:t>
      </w:r>
      <w:r>
        <w:rPr>
          <w:rFonts w:eastAsia="方正小标宋_GBK"/>
          <w:kern w:val="2"/>
          <w:sz w:val="44"/>
          <w:szCs w:val="44"/>
          <w:u w:val="none"/>
        </w:rPr>
        <w:t>任务分工</w:t>
      </w:r>
      <w:r>
        <w:rPr>
          <w:rFonts w:hint="eastAsia" w:eastAsia="方正小标宋_GBK"/>
          <w:kern w:val="2"/>
          <w:sz w:val="44"/>
          <w:szCs w:val="44"/>
          <w:u w:val="none"/>
        </w:rPr>
        <w:t>方案</w:t>
      </w:r>
      <w:r>
        <w:rPr>
          <w:rFonts w:eastAsia="方正小标宋_GBK"/>
          <w:kern w:val="2"/>
          <w:sz w:val="44"/>
          <w:szCs w:val="44"/>
          <w:u w:val="none"/>
        </w:rPr>
        <w:t>》的</w:t>
      </w:r>
      <w:r>
        <w:rPr>
          <w:rFonts w:hint="eastAsia" w:eastAsia="方正小标宋_GBK"/>
          <w:kern w:val="2"/>
          <w:sz w:val="44"/>
          <w:szCs w:val="44"/>
          <w:u w:val="none"/>
        </w:rPr>
        <w:t>通知</w:t>
      </w:r>
    </w:p>
    <w:p>
      <w:pPr>
        <w:spacing w:line="570" w:lineRule="exact"/>
        <w:rPr>
          <w:rFonts w:ascii="Times New Roman" w:hAnsi="方正仿宋_GBK" w:eastAsia="方正仿宋_GBK"/>
          <w:sz w:val="32"/>
          <w:szCs w:val="32"/>
          <w:lang w:bidi="ar"/>
        </w:rPr>
      </w:pPr>
    </w:p>
    <w:p>
      <w:pPr>
        <w:spacing w:line="570" w:lineRule="exact"/>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各乡镇党委、政府，各街道党工委、办事处，</w:t>
      </w:r>
      <w:r>
        <w:rPr>
          <w:rFonts w:ascii="Times New Roman" w:eastAsia="方正仿宋_GBK"/>
        </w:rPr>
        <w:t>县委各部委</w:t>
      </w:r>
      <w:r>
        <w:rPr>
          <w:rFonts w:hint="eastAsia" w:ascii="Times New Roman"/>
          <w:lang w:eastAsia="zh-CN"/>
        </w:rPr>
        <w:t>，</w:t>
      </w:r>
      <w:r>
        <w:rPr>
          <w:rFonts w:hint="eastAsia" w:ascii="Times New Roman" w:hAnsi="Times New Roman" w:eastAsia="方正仿宋_GBK"/>
          <w:sz w:val="32"/>
          <w:szCs w:val="32"/>
          <w:lang w:eastAsia="zh-CN" w:bidi="ar"/>
        </w:rPr>
        <w:t>县级国家机关各部门，各人民团体及有关企事业单位：</w:t>
      </w:r>
      <w:r>
        <w:rPr>
          <w:rFonts w:hint="eastAsia" w:ascii="Times New Roman" w:hAnsi="Times New Roman" w:eastAsia="方正仿宋_GBK"/>
          <w:sz w:val="32"/>
          <w:szCs w:val="32"/>
          <w:lang w:eastAsia="zh-CN" w:bidi="ar"/>
        </w:rPr>
        <w:tab/>
      </w:r>
    </w:p>
    <w:p>
      <w:pPr>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lang w:bidi="ar"/>
        </w:rPr>
        <w:t>现将</w:t>
      </w:r>
      <w:r>
        <w:rPr>
          <w:rFonts w:hint="eastAsia" w:ascii="Times New Roman" w:hAnsi="Times New Roman" w:eastAsia="方正仿宋_GBK" w:cs="Times New Roman"/>
          <w:sz w:val="32"/>
          <w:szCs w:val="32"/>
          <w:lang w:eastAsia="zh-CN" w:bidi="ar"/>
        </w:rPr>
        <w:t>《贯彻落实〈中共中央</w:t>
      </w:r>
      <w:r>
        <w:rPr>
          <w:rFonts w:hint="eastAsia" w:ascii="Times New Roman" w:hAnsi="Times New Roman" w:eastAsia="方正仿宋_GBK" w:cs="Times New Roman"/>
          <w:sz w:val="32"/>
          <w:szCs w:val="32"/>
          <w:lang w:val="en" w:eastAsia="zh-CN" w:bidi="ar"/>
        </w:rPr>
        <w:t xml:space="preserve"> </w:t>
      </w:r>
      <w:r>
        <w:rPr>
          <w:rFonts w:hint="eastAsia" w:ascii="Times New Roman" w:hAnsi="Times New Roman" w:eastAsia="方正仿宋_GBK" w:cs="Times New Roman"/>
          <w:sz w:val="32"/>
          <w:szCs w:val="32"/>
          <w:lang w:eastAsia="zh-CN" w:bidi="ar"/>
        </w:rPr>
        <w:t>国务院关于加快建设全国统一大市场的意见〉任务分工方案》的通知》转发</w:t>
      </w:r>
      <w:r>
        <w:rPr>
          <w:rFonts w:ascii="Times New Roman" w:hAnsi="方正仿宋_GBK" w:eastAsia="方正仿宋_GBK"/>
          <w:sz w:val="32"/>
          <w:szCs w:val="32"/>
          <w:lang w:bidi="ar"/>
        </w:rPr>
        <w:t>给你们，请</w:t>
      </w:r>
      <w:r>
        <w:rPr>
          <w:rFonts w:ascii="Times New Roman" w:hAnsi="Times New Roman" w:eastAsia="方正仿宋_GBK"/>
          <w:sz w:val="32"/>
          <w:szCs w:val="32"/>
          <w:lang w:bidi="ar"/>
        </w:rPr>
        <w:t>你们</w:t>
      </w:r>
      <w:r>
        <w:rPr>
          <w:rFonts w:hint="eastAsia" w:ascii="Times New Roman" w:hAnsi="Times New Roman" w:eastAsia="方正仿宋_GBK"/>
          <w:sz w:val="32"/>
          <w:szCs w:val="32"/>
          <w:lang w:val="en-US" w:eastAsia="zh-CN" w:bidi="ar"/>
        </w:rPr>
        <w:t>遵照市级部门任务分工，根据</w:t>
      </w:r>
      <w:r>
        <w:rPr>
          <w:rFonts w:hint="eastAsia"/>
          <w:sz w:val="32"/>
          <w:szCs w:val="32"/>
          <w:lang w:val="en-US" w:eastAsia="zh-CN" w:bidi="ar"/>
        </w:rPr>
        <w:t>县级</w:t>
      </w:r>
      <w:r>
        <w:rPr>
          <w:rFonts w:hint="eastAsia" w:ascii="Times New Roman" w:hAnsi="Times New Roman" w:eastAsia="方正仿宋_GBK"/>
          <w:sz w:val="32"/>
          <w:szCs w:val="32"/>
          <w:lang w:val="en-US" w:eastAsia="zh-CN" w:bidi="ar"/>
        </w:rPr>
        <w:t>部门职能职责，抓好工作落实</w:t>
      </w:r>
      <w:r>
        <w:rPr>
          <w:rFonts w:ascii="Times New Roman" w:hAnsi="Times New Roman" w:eastAsia="方正仿宋_GBK"/>
          <w:sz w:val="32"/>
          <w:szCs w:val="32"/>
          <w:lang w:bidi="ar"/>
        </w:rPr>
        <w:t>。</w:t>
      </w:r>
    </w:p>
    <w:p>
      <w:pPr>
        <w:spacing w:line="570" w:lineRule="exact"/>
        <w:ind w:firstLine="632" w:firstLineChars="200"/>
        <w:rPr>
          <w:rFonts w:ascii="Times New Roman" w:hAnsi="Times New Roman" w:eastAsia="方正仿宋_GBK"/>
          <w:sz w:val="32"/>
          <w:szCs w:val="32"/>
        </w:rPr>
      </w:pPr>
    </w:p>
    <w:p>
      <w:pPr>
        <w:adjustRightInd/>
        <w:spacing w:after="0" w:line="580" w:lineRule="exact"/>
        <w:ind w:firstLine="632" w:firstLineChars="200"/>
        <w:jc w:val="both"/>
        <w:textAlignment w:val="auto"/>
        <w:rPr>
          <w:rFonts w:hint="default" w:ascii="Times New Roman" w:hAnsi="Times New Roman" w:eastAsia="方正仿宋_GBK" w:cs="Times New Roman"/>
          <w:spacing w:val="0"/>
          <w:kern w:val="0"/>
          <w:sz w:val="32"/>
          <w:szCs w:val="32"/>
          <w:u w:val="none"/>
          <w:lang w:bidi="ar"/>
        </w:rPr>
      </w:pPr>
      <w:r>
        <w:rPr>
          <w:rFonts w:ascii="Times New Roman" w:hAnsi="Times New Roman" w:eastAsia="方正仿宋_GBK"/>
          <w:sz w:val="32"/>
          <w:szCs w:val="32"/>
          <w:lang w:bidi="ar"/>
        </w:rPr>
        <w:t>附件：</w:t>
      </w:r>
      <w:r>
        <w:rPr>
          <w:rFonts w:hint="default" w:ascii="Times New Roman" w:hAnsi="Times New Roman" w:eastAsia="方正仿宋_GBK" w:cs="Times New Roman"/>
          <w:kern w:val="0"/>
          <w:sz w:val="32"/>
          <w:szCs w:val="32"/>
          <w:u w:val="none"/>
          <w:lang w:bidi="ar"/>
        </w:rPr>
        <w:t>贯彻落实《中共中央 国务院关于</w:t>
      </w:r>
      <w:r>
        <w:rPr>
          <w:rFonts w:hint="default" w:ascii="Times New Roman" w:hAnsi="Times New Roman" w:eastAsia="方正仿宋_GBK" w:cs="Times New Roman"/>
          <w:spacing w:val="0"/>
          <w:kern w:val="0"/>
          <w:sz w:val="32"/>
          <w:szCs w:val="32"/>
          <w:u w:val="none"/>
          <w:lang w:bidi="ar"/>
        </w:rPr>
        <w:t>加快建设全国统一大市场的意见》任务分工方案</w:t>
      </w:r>
    </w:p>
    <w:p>
      <w:pPr>
        <w:keepNext w:val="0"/>
        <w:keepLines w:val="0"/>
        <w:pageBreakBefore w:val="0"/>
        <w:widowControl/>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仿宋_GBK"/>
          <w:sz w:val="32"/>
          <w:szCs w:val="32"/>
          <w:lang w:eastAsia="zh-CN" w:bidi="ar"/>
        </w:rPr>
      </w:pPr>
    </w:p>
    <w:p>
      <w:pPr>
        <w:spacing w:line="570" w:lineRule="exact"/>
        <w:rPr>
          <w:rFonts w:hint="eastAsia" w:ascii="Times New Roman" w:hAnsi="Times New Roman" w:eastAsia="方正仿宋_GBK"/>
          <w:sz w:val="32"/>
          <w:szCs w:val="32"/>
          <w:lang w:eastAsia="zh-CN" w:bidi="ar"/>
        </w:rPr>
      </w:pP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eastAsia="zh-CN" w:bidi="ar"/>
        </w:rPr>
        <w:t>　　　　　　　　　　</w:t>
      </w:r>
      <w:r>
        <w:rPr>
          <w:rFonts w:hint="eastAsia" w:ascii="Times New Roman" w:hAnsi="Times New Roman" w:eastAsia="方正仿宋_GBK"/>
          <w:sz w:val="32"/>
          <w:szCs w:val="32"/>
          <w:lang w:val="en-US" w:eastAsia="zh-CN" w:bidi="ar"/>
        </w:rPr>
        <w:t xml:space="preserve">     </w:t>
      </w:r>
      <w:r>
        <w:rPr>
          <w:rFonts w:hint="eastAsia" w:ascii="Times New Roman" w:hAnsi="Times New Roman" w:eastAsia="方正仿宋_GBK"/>
          <w:sz w:val="32"/>
          <w:szCs w:val="32"/>
          <w:lang w:eastAsia="zh-CN" w:bidi="ar"/>
        </w:rPr>
        <w:t>　</w:t>
      </w:r>
    </w:p>
    <w:p>
      <w:pPr>
        <w:snapToGrid w:val="0"/>
        <w:spacing w:line="570" w:lineRule="exact"/>
        <w:jc w:val="center"/>
        <w:rPr>
          <w:rFonts w:hint="default" w:ascii="Times New Roman" w:hAnsi="方正仿宋_GBK" w:eastAsia="方正仿宋_GBK" w:cs="Times New Roman"/>
          <w:kern w:val="0"/>
          <w:sz w:val="32"/>
          <w:szCs w:val="32"/>
          <w:lang w:bidi="ar"/>
        </w:rPr>
      </w:pPr>
      <w:r>
        <w:rPr>
          <w:rFonts w:ascii="Times New Roman" w:hAnsi="方正仿宋_GBK" w:eastAsia="方正仿宋_GBK"/>
          <w:sz w:val="32"/>
          <w:szCs w:val="32"/>
          <w:lang w:bidi="ar"/>
        </w:rPr>
        <w:t>丰都县发展和改革委员会</w:t>
      </w:r>
      <w:r>
        <w:rPr>
          <w:rFonts w:ascii="Times New Roman" w:hAnsi="Times New Roman" w:eastAsia="方正仿宋_GBK"/>
          <w:sz w:val="32"/>
          <w:szCs w:val="32"/>
          <w:lang w:bidi="ar"/>
        </w:rPr>
        <w:t xml:space="preserve">      </w:t>
      </w:r>
      <w:r>
        <w:rPr>
          <w:rFonts w:hint="default" w:hAnsi="方正仿宋_GBK" w:eastAsia="方正仿宋_GBK"/>
          <w:spacing w:val="0"/>
          <w:kern w:val="0"/>
          <w:sz w:val="32"/>
          <w:szCs w:val="32"/>
          <w:lang w:val="en-US" w:eastAsia="zh-CN" w:bidi="ar"/>
        </w:rPr>
        <w:t>丰都县</w:t>
      </w:r>
      <w:r>
        <w:rPr>
          <w:rFonts w:hint="default" w:hAnsi="方正仿宋_GBK" w:eastAsia="方正仿宋_GBK"/>
          <w:spacing w:val="0"/>
          <w:kern w:val="0"/>
          <w:sz w:val="32"/>
          <w:szCs w:val="32"/>
          <w:lang w:bidi="ar"/>
        </w:rPr>
        <w:t>市场监督管理局</w:t>
      </w:r>
    </w:p>
    <w:p>
      <w:pPr>
        <w:spacing w:line="570" w:lineRule="exact"/>
        <w:ind w:firstLine="0" w:firstLineChars="0"/>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Times New Roman" w:hAnsi="Times New Roman" w:eastAsia="方正仿宋_GBK"/>
          <w:sz w:val="32"/>
          <w:szCs w:val="32"/>
          <w:lang w:eastAsia="zh-CN" w:bidi="ar"/>
        </w:rPr>
      </w:pPr>
      <w:r>
        <w:rPr>
          <w:rFonts w:ascii="Times New Roman" w:hAnsi="Times New Roman" w:eastAsia="方正仿宋_GBK"/>
          <w:sz w:val="32"/>
          <w:szCs w:val="32"/>
          <w:lang w:bidi="ar"/>
        </w:rPr>
        <w:t xml:space="preserve">                                202</w:t>
      </w:r>
      <w:r>
        <w:rPr>
          <w:rFonts w:hint="eastAsia" w:ascii="Times New Roman" w:hAnsi="Times New Roman" w:eastAsia="方正仿宋_GBK"/>
          <w:sz w:val="32"/>
          <w:szCs w:val="32"/>
          <w:lang w:val="en-US" w:eastAsia="zh-CN" w:bidi="ar"/>
        </w:rPr>
        <w:t>2</w:t>
      </w:r>
      <w:r>
        <w:rPr>
          <w:rFonts w:ascii="Times New Roman" w:hAnsi="方正仿宋_GBK" w:eastAsia="方正仿宋_GBK"/>
          <w:sz w:val="32"/>
          <w:szCs w:val="32"/>
          <w:lang w:bidi="ar"/>
        </w:rPr>
        <w:t>年</w:t>
      </w:r>
      <w:r>
        <w:rPr>
          <w:rFonts w:hint="eastAsia" w:ascii="Times New Roman" w:hAnsi="方正仿宋_GBK" w:eastAsia="方正仿宋_GBK"/>
          <w:sz w:val="32"/>
          <w:szCs w:val="32"/>
          <w:lang w:val="en-US" w:eastAsia="zh-CN" w:bidi="ar"/>
        </w:rPr>
        <w:t>8</w:t>
      </w:r>
      <w:r>
        <w:rPr>
          <w:rFonts w:ascii="Times New Roman" w:hAnsi="方正仿宋_GBK" w:eastAsia="方正仿宋_GBK"/>
          <w:sz w:val="32"/>
          <w:szCs w:val="32"/>
          <w:lang w:bidi="ar"/>
        </w:rPr>
        <w:t>月</w:t>
      </w:r>
      <w:r>
        <w:rPr>
          <w:rFonts w:hint="eastAsia" w:ascii="Times New Roman" w:hAnsi="方正仿宋_GBK" w:eastAsia="方正仿宋_GBK"/>
          <w:sz w:val="32"/>
          <w:szCs w:val="32"/>
          <w:lang w:val="en-US" w:eastAsia="zh-CN" w:bidi="ar"/>
        </w:rPr>
        <w:t>2</w:t>
      </w:r>
      <w:r>
        <w:rPr>
          <w:rFonts w:hint="eastAsia" w:hAnsi="方正仿宋_GBK"/>
          <w:sz w:val="32"/>
          <w:szCs w:val="32"/>
          <w:lang w:val="en-US" w:eastAsia="zh-CN" w:bidi="ar"/>
        </w:rPr>
        <w:t>3</w:t>
      </w:r>
      <w:r>
        <w:rPr>
          <w:rFonts w:ascii="Times New Roman" w:hAnsi="方正仿宋_GBK" w:eastAsia="方正仿宋_GBK"/>
          <w:sz w:val="32"/>
          <w:szCs w:val="32"/>
          <w:lang w:bidi="ar"/>
        </w:rPr>
        <w:t>日</w:t>
      </w:r>
      <w:r>
        <w:rPr>
          <w:rFonts w:ascii="Times New Roman" w:hAnsi="Times New Roman" w:eastAsia="方正仿宋_GBK"/>
          <w:sz w:val="32"/>
          <w:szCs w:val="32"/>
          <w:lang w:bidi="ar"/>
        </w:rPr>
        <w:t xml:space="preserve">  </w:t>
      </w:r>
    </w:p>
    <w:p/>
    <w:p/>
    <w:p/>
    <w:p/>
    <w:p/>
    <w:p/>
    <w:p/>
    <w:p/>
    <w:p/>
    <w:p/>
    <w:p/>
    <w:p>
      <w:bookmarkStart w:id="1" w:name="_GoBack"/>
      <w:bookmarkEnd w:id="1"/>
    </w:p>
    <w:p/>
    <w:p>
      <w:pPr>
        <w:spacing w:line="460" w:lineRule="exact"/>
        <w:rPr>
          <w:rFonts w:hint="eastAsia" w:ascii="Times New Roman" w:hAnsi="Times New Roman" w:eastAsia="方正仿宋_GBK"/>
          <w:sz w:val="28"/>
          <w:szCs w:val="28"/>
          <w:u w:val="single"/>
        </w:rPr>
      </w:pP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u w:val="single"/>
        </w:rPr>
        <w:t xml:space="preserve">                           </w:t>
      </w: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eastAsia="zh-CN"/>
        </w:rPr>
        <w:t>　　</w:t>
      </w:r>
      <w:r>
        <w:rPr>
          <w:rFonts w:hint="eastAsia" w:ascii="Times New Roman" w:hAnsi="Times New Roman" w:eastAsia="方正仿宋_GBK"/>
          <w:sz w:val="28"/>
          <w:szCs w:val="28"/>
          <w:u w:val="single"/>
        </w:rPr>
        <w:t xml:space="preserve"> </w:t>
      </w:r>
    </w:p>
    <w:p>
      <w:pPr>
        <w:spacing w:line="460" w:lineRule="exact"/>
        <w:rPr>
          <w:rFonts w:hint="eastAsia" w:ascii="Times New Roman" w:hAnsi="Times New Roman" w:eastAsia="方正仿宋_GBK"/>
          <w:sz w:val="28"/>
          <w:szCs w:val="28"/>
          <w:u w:val="single"/>
        </w:rPr>
      </w:pPr>
      <w:r>
        <w:rPr>
          <w:rFonts w:hint="eastAsia" w:ascii="Times New Roman" w:hAnsi="Times New Roman" w:eastAsia="方正仿宋_GBK"/>
          <w:sz w:val="28"/>
          <w:szCs w:val="28"/>
          <w:u w:val="single"/>
        </w:rPr>
        <w:t xml:space="preserve">  </w:t>
      </w:r>
      <w:r>
        <w:rPr>
          <w:rFonts w:ascii="Times New Roman" w:hAnsi="Times New Roman" w:eastAsia="方正仿宋_GBK"/>
          <w:sz w:val="28"/>
          <w:szCs w:val="28"/>
          <w:u w:val="single"/>
        </w:rPr>
        <w:t xml:space="preserve">丰都县发展和改革委员会办公室           </w:t>
      </w:r>
      <w:r>
        <w:rPr>
          <w:rFonts w:hint="eastAsia" w:ascii="Times New Roman" w:hAnsi="Times New Roman" w:eastAsia="方正仿宋_GBK"/>
          <w:sz w:val="28"/>
          <w:szCs w:val="28"/>
          <w:u w:val="single"/>
          <w:lang w:eastAsia="zh-CN"/>
        </w:rPr>
        <w:t>　</w:t>
      </w:r>
      <w:r>
        <w:rPr>
          <w:rFonts w:ascii="Times New Roman" w:hAnsi="Times New Roman" w:eastAsia="方正仿宋_GBK"/>
          <w:sz w:val="28"/>
          <w:szCs w:val="28"/>
          <w:u w:val="single"/>
        </w:rPr>
        <w:t xml:space="preserve"> 202</w:t>
      </w:r>
      <w:r>
        <w:rPr>
          <w:rFonts w:hint="eastAsia" w:ascii="Times New Roman" w:hAnsi="Times New Roman" w:eastAsia="方正仿宋_GBK"/>
          <w:sz w:val="28"/>
          <w:szCs w:val="28"/>
          <w:u w:val="single"/>
          <w:lang w:val="en-US" w:eastAsia="zh-CN"/>
        </w:rPr>
        <w:t>2</w:t>
      </w:r>
      <w:r>
        <w:rPr>
          <w:rFonts w:ascii="Times New Roman" w:hAnsi="Times New Roman" w:eastAsia="方正仿宋_GBK"/>
          <w:sz w:val="28"/>
          <w:szCs w:val="28"/>
          <w:u w:val="single"/>
        </w:rPr>
        <w:t>年</w:t>
      </w:r>
      <w:r>
        <w:rPr>
          <w:rFonts w:hint="eastAsia" w:ascii="Times New Roman" w:hAnsi="Times New Roman" w:eastAsia="方正仿宋_GBK"/>
          <w:sz w:val="28"/>
          <w:szCs w:val="28"/>
          <w:u w:val="single"/>
          <w:lang w:val="en-US" w:eastAsia="zh-CN"/>
        </w:rPr>
        <w:t>8</w:t>
      </w:r>
      <w:r>
        <w:rPr>
          <w:rFonts w:ascii="Times New Roman" w:hAnsi="Times New Roman" w:eastAsia="方正仿宋_GBK"/>
          <w:sz w:val="28"/>
          <w:szCs w:val="28"/>
          <w:u w:val="single"/>
        </w:rPr>
        <w:t>月</w:t>
      </w:r>
      <w:r>
        <w:rPr>
          <w:rFonts w:hint="eastAsia" w:ascii="Times New Roman" w:hAnsi="Times New Roman" w:eastAsia="方正仿宋_GBK"/>
          <w:sz w:val="28"/>
          <w:szCs w:val="28"/>
          <w:u w:val="single"/>
          <w:lang w:val="en-US" w:eastAsia="zh-CN"/>
        </w:rPr>
        <w:t>2</w:t>
      </w:r>
      <w:r>
        <w:rPr>
          <w:rFonts w:hint="eastAsia"/>
          <w:sz w:val="28"/>
          <w:szCs w:val="28"/>
          <w:u w:val="single"/>
          <w:lang w:val="en-US" w:eastAsia="zh-CN"/>
        </w:rPr>
        <w:t>3</w:t>
      </w:r>
      <w:r>
        <w:rPr>
          <w:rFonts w:ascii="Times New Roman" w:hAnsi="Times New Roman" w:eastAsia="方正仿宋_GBK"/>
          <w:sz w:val="28"/>
          <w:szCs w:val="28"/>
          <w:u w:val="single"/>
        </w:rPr>
        <w:t>日印发</w:t>
      </w:r>
      <w:r>
        <w:rPr>
          <w:rFonts w:hint="eastAsia" w:ascii="Times New Roman" w:hAnsi="Times New Roman" w:eastAsia="方正仿宋_GBK"/>
          <w:sz w:val="28"/>
          <w:szCs w:val="28"/>
          <w:u w:val="single"/>
        </w:rPr>
        <w:t xml:space="preserve">  </w:t>
      </w:r>
    </w:p>
    <w:p>
      <w:pPr>
        <w:adjustRightInd/>
        <w:spacing w:line="240" w:lineRule="auto"/>
        <w:rPr>
          <w:rFonts w:ascii="Times New Roman" w:hAnsi="Times New Roman" w:eastAsia="方正黑体_GBK"/>
          <w:bCs/>
        </w:rPr>
      </w:pPr>
    </w:p>
    <w:p>
      <w:pPr>
        <w:adjustRightInd/>
        <w:spacing w:line="240" w:lineRule="auto"/>
        <w:rPr>
          <w:rFonts w:ascii="Times New Roman" w:hAnsi="Times New Roman" w:eastAsia="方正黑体_GBK"/>
          <w:bCs/>
        </w:rPr>
      </w:pPr>
    </w:p>
    <w:p>
      <w:pPr>
        <w:adjustRightInd/>
        <w:spacing w:line="240" w:lineRule="auto"/>
        <w:rPr>
          <w:rFonts w:ascii="Times New Roman" w:hAnsi="Times New Roman" w:eastAsia="方正黑体_GBK"/>
          <w:bCs/>
        </w:rPr>
      </w:pPr>
    </w:p>
    <w:p>
      <w:pPr>
        <w:adjustRightInd/>
        <w:spacing w:line="240" w:lineRule="auto"/>
        <w:rPr>
          <w:bCs/>
        </w:rPr>
      </w:pPr>
      <w:r>
        <w:rPr>
          <w:bCs/>
        </w:rPr>
        <w:pict>
          <v:shape id="_x0000_s1025" o:spid="_x0000_s1025" o:spt="136" type="#_x0000_t136" style="position:absolute;left:0pt;margin-left:7.75pt;margin-top:15.75pt;height:53.85pt;width:425.2pt;z-index:251659264;mso-width-relative:page;mso-height-relative:page;" fillcolor="#FF0000" filled="t" stroked="t" coordsize="21600,21600">
            <v:path/>
            <v:fill on="t" focussize="0,0"/>
            <v:stroke color="#FF0000"/>
            <v:imagedata o:title=""/>
            <o:lock v:ext="edit"/>
            <v:textpath on="t" fitshape="t" fitpath="t" trim="t" xscale="f" string="重庆市发展和改革委员会" style="font-family:方正小标宋_GBK;font-size:36pt;font-weight:bold;v-text-align:center;"/>
          </v:shape>
        </w:pict>
      </w: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jc w:val="center"/>
        <w:rPr>
          <w:rFonts w:hint="eastAsia" w:cs="方正仿宋_GBK"/>
          <w:bCs/>
        </w:rPr>
      </w:pPr>
      <w:r>
        <w:rPr>
          <w:rFonts w:hint="eastAsia" w:cs="方正仿宋_GBK"/>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367665</wp:posOffset>
                </wp:positionV>
                <wp:extent cx="5615940" cy="28575"/>
                <wp:effectExtent l="0" t="0" r="3810" b="9525"/>
                <wp:wrapNone/>
                <wp:docPr id="1" name="矩形 2"/>
                <wp:cNvGraphicFramePr/>
                <a:graphic xmlns:a="http://schemas.openxmlformats.org/drawingml/2006/main">
                  <a:graphicData uri="http://schemas.microsoft.com/office/word/2010/wordprocessingShape">
                    <wps:wsp>
                      <wps:cNvSpPr/>
                      <wps:spPr>
                        <a:xfrm>
                          <a:off x="0" y="0"/>
                          <a:ext cx="5615940" cy="28575"/>
                        </a:xfrm>
                        <a:prstGeom prst="rect">
                          <a:avLst/>
                        </a:prstGeom>
                        <a:solidFill>
                          <a:srgbClr val="FF0202"/>
                        </a:solidFill>
                        <a:ln>
                          <a:noFill/>
                        </a:ln>
                      </wps:spPr>
                      <wps:txbx>
                        <w:txbxContent>
                          <w:p>
                            <w:pPr>
                              <w:jc w:val="center"/>
                            </w:pPr>
                          </w:p>
                        </w:txbxContent>
                      </wps:txbx>
                      <wps:bodyPr upright="1"/>
                    </wps:wsp>
                  </a:graphicData>
                </a:graphic>
              </wp:anchor>
            </w:drawing>
          </mc:Choice>
          <mc:Fallback>
            <w:pict>
              <v:rect id="矩形 2" o:spid="_x0000_s1026" o:spt="1" style="position:absolute;left:0pt;margin-top:28.95pt;height:2.25pt;width:442.2pt;mso-position-horizontal:center;z-index:251660288;mso-width-relative:page;mso-height-relative:page;" fillcolor="#FF0202" filled="t" stroked="f" coordsize="21600,21600" o:gfxdata="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ET2i1wAAAAYBAAAPAAAAAAAAAAEAIAAAACIAAABkcnMvZG93bnJldi54bWxQSwECFAAU&#10;AAAACACHTuJAowia17kBAABpAwAADgAAAAAAAAABACAAAAAmAQAAZHJzL2Uyb0RvYy54bWxQSwUG&#10;AAAAAAYABgBZAQAAUQUAAAAA&#10;">
                <v:fill on="t" focussize="0,0"/>
                <v:stroke on="f"/>
                <v:imagedata o:title=""/>
                <o:lock v:ext="edit" aspectratio="f"/>
                <v:textbox>
                  <w:txbxContent>
                    <w:p>
                      <w:pPr>
                        <w:jc w:val="center"/>
                      </w:pPr>
                    </w:p>
                  </w:txbxContent>
                </v:textbox>
              </v:rect>
            </w:pict>
          </mc:Fallback>
        </mc:AlternateContent>
      </w:r>
      <w:r>
        <w:rPr>
          <w:rFonts w:hint="eastAsia" w:eastAsia="方正仿宋_GBK" w:cs="方正仿宋_GBK"/>
          <w:vanish w:val="0"/>
          <w:kern w:val="2"/>
        </w:rPr>
        <w:t>渝发改体改〔2022〕975号</w:t>
      </w:r>
    </w:p>
    <w:p>
      <w:pPr>
        <w:adjustRightInd/>
        <w:spacing w:line="240" w:lineRule="auto"/>
        <w:jc w:val="center"/>
        <w:rPr>
          <w:bCs/>
        </w:rPr>
      </w:pPr>
    </w:p>
    <w:p>
      <w:pPr>
        <w:adjustRightInd/>
        <w:spacing w:after="0" w:line="240" w:lineRule="auto"/>
        <w:ind w:left="0" w:leftChars="0" w:right="0" w:rightChars="0"/>
        <w:jc w:val="center"/>
        <w:rPr>
          <w:rFonts w:hint="eastAsia" w:eastAsia="方正小标宋_GBK"/>
          <w:kern w:val="2"/>
          <w:sz w:val="44"/>
          <w:szCs w:val="44"/>
        </w:rPr>
      </w:pPr>
      <w:bookmarkStart w:id="0" w:name="正文"/>
      <w:bookmarkEnd w:id="0"/>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adjustRightInd/>
              <w:spacing w:after="0" w:line="580" w:lineRule="exact"/>
              <w:ind w:right="0" w:rightChars="0"/>
              <w:jc w:val="distribute"/>
              <w:rPr>
                <w:rFonts w:hint="eastAsia" w:eastAsia="方正小标宋_GBK"/>
                <w:kern w:val="2"/>
                <w:sz w:val="44"/>
                <w:szCs w:val="44"/>
                <w:vertAlign w:val="baseline"/>
              </w:rPr>
            </w:pPr>
            <w:r>
              <w:rPr>
                <w:rFonts w:hint="eastAsia" w:eastAsia="方正小标宋_GBK"/>
                <w:kern w:val="2"/>
                <w:sz w:val="44"/>
                <w:szCs w:val="44"/>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adjustRightInd/>
              <w:spacing w:after="0" w:line="580" w:lineRule="exact"/>
              <w:ind w:right="0" w:rightChars="0"/>
              <w:jc w:val="distribute"/>
              <w:rPr>
                <w:rFonts w:hint="eastAsia" w:eastAsia="方正小标宋_GBK"/>
                <w:kern w:val="2"/>
                <w:sz w:val="44"/>
                <w:szCs w:val="44"/>
                <w:vertAlign w:val="baseline"/>
              </w:rPr>
            </w:pPr>
            <w:r>
              <w:rPr>
                <w:rFonts w:hint="eastAsia" w:eastAsia="方正小标宋_GBK"/>
                <w:spacing w:val="20"/>
                <w:kern w:val="2"/>
                <w:sz w:val="44"/>
                <w:szCs w:val="44"/>
              </w:rPr>
              <w:t>重庆市市场监督管理局</w:t>
            </w:r>
          </w:p>
        </w:tc>
      </w:tr>
    </w:tbl>
    <w:p>
      <w:pPr>
        <w:adjustRightInd/>
        <w:spacing w:after="0" w:line="580" w:lineRule="exact"/>
        <w:ind w:left="0" w:leftChars="0" w:right="0" w:rightChars="0"/>
        <w:jc w:val="center"/>
        <w:rPr>
          <w:rFonts w:ascii="Times New Roman" w:hAnsi="Times New Roman" w:eastAsia="方正小标宋_GBK"/>
          <w:kern w:val="2"/>
          <w:sz w:val="44"/>
          <w:szCs w:val="44"/>
          <w:u w:val="none"/>
        </w:rPr>
      </w:pPr>
      <w:r>
        <w:rPr>
          <w:rFonts w:hint="eastAsia" w:eastAsia="方正小标宋_GBK"/>
          <w:kern w:val="2"/>
          <w:sz w:val="44"/>
          <w:szCs w:val="44"/>
          <w:u w:val="none"/>
        </w:rPr>
        <w:t>印发</w:t>
      </w:r>
      <w:r>
        <w:rPr>
          <w:rFonts w:eastAsia="方正小标宋_GBK"/>
          <w:kern w:val="2"/>
          <w:sz w:val="44"/>
          <w:szCs w:val="44"/>
          <w:u w:val="none"/>
        </w:rPr>
        <w:t>《贯彻落实</w:t>
      </w:r>
      <w:r>
        <w:rPr>
          <w:rFonts w:hint="eastAsia" w:eastAsia="方正小标宋_GBK"/>
          <w:kern w:val="2"/>
          <w:sz w:val="44"/>
          <w:szCs w:val="44"/>
          <w:u w:val="none"/>
        </w:rPr>
        <w:t>〈中共中央</w:t>
      </w:r>
      <w:r>
        <w:rPr>
          <w:rFonts w:eastAsia="方正小标宋_GBK"/>
          <w:kern w:val="2"/>
          <w:sz w:val="44"/>
          <w:szCs w:val="44"/>
          <w:u w:val="none"/>
          <w:lang w:val="en"/>
        </w:rPr>
        <w:t xml:space="preserve"> </w:t>
      </w:r>
      <w:r>
        <w:rPr>
          <w:rFonts w:hint="eastAsia" w:eastAsia="方正小标宋_GBK"/>
          <w:kern w:val="2"/>
          <w:sz w:val="44"/>
          <w:szCs w:val="44"/>
          <w:u w:val="none"/>
        </w:rPr>
        <w:t>国务院</w:t>
      </w:r>
      <w:r>
        <w:rPr>
          <w:rFonts w:eastAsia="方正小标宋_GBK"/>
          <w:kern w:val="2"/>
          <w:sz w:val="44"/>
          <w:szCs w:val="44"/>
          <w:u w:val="none"/>
        </w:rPr>
        <w:t>关于</w:t>
      </w:r>
    </w:p>
    <w:p>
      <w:pPr>
        <w:adjustRightInd/>
        <w:spacing w:after="0" w:line="580" w:lineRule="exact"/>
        <w:ind w:left="0" w:leftChars="0" w:right="0" w:rightChars="0"/>
        <w:jc w:val="center"/>
        <w:rPr>
          <w:rFonts w:ascii="Times New Roman" w:hAnsi="Times New Roman" w:eastAsia="方正小标宋_GBK"/>
          <w:kern w:val="2"/>
          <w:sz w:val="44"/>
          <w:szCs w:val="44"/>
          <w:u w:val="none"/>
        </w:rPr>
      </w:pPr>
      <w:r>
        <w:rPr>
          <w:rFonts w:eastAsia="方正小标宋_GBK"/>
          <w:kern w:val="2"/>
          <w:sz w:val="44"/>
          <w:szCs w:val="44"/>
          <w:u w:val="none"/>
        </w:rPr>
        <w:t>加快建设全国统一大市场的意见</w:t>
      </w:r>
      <w:r>
        <w:rPr>
          <w:rFonts w:hint="eastAsia" w:eastAsia="方正小标宋_GBK"/>
          <w:kern w:val="2"/>
          <w:sz w:val="44"/>
          <w:szCs w:val="44"/>
          <w:u w:val="none"/>
        </w:rPr>
        <w:t>〉</w:t>
      </w:r>
      <w:r>
        <w:rPr>
          <w:rFonts w:eastAsia="方正小标宋_GBK"/>
          <w:kern w:val="2"/>
          <w:sz w:val="44"/>
          <w:szCs w:val="44"/>
          <w:u w:val="none"/>
        </w:rPr>
        <w:t>任务分工</w:t>
      </w:r>
    </w:p>
    <w:p>
      <w:pPr>
        <w:adjustRightInd/>
        <w:spacing w:after="0" w:line="580" w:lineRule="exact"/>
        <w:ind w:left="0" w:leftChars="0" w:right="0" w:rightChars="0"/>
        <w:jc w:val="center"/>
        <w:rPr>
          <w:rFonts w:eastAsia="方正小标宋_GBK"/>
          <w:kern w:val="2"/>
          <w:sz w:val="44"/>
          <w:szCs w:val="44"/>
          <w:u w:val="none"/>
        </w:rPr>
      </w:pPr>
      <w:r>
        <w:rPr>
          <w:rFonts w:hint="eastAsia" w:eastAsia="方正小标宋_GBK"/>
          <w:kern w:val="2"/>
          <w:sz w:val="44"/>
          <w:szCs w:val="44"/>
          <w:u w:val="none"/>
        </w:rPr>
        <w:t>方案</w:t>
      </w:r>
      <w:r>
        <w:rPr>
          <w:rFonts w:eastAsia="方正小标宋_GBK"/>
          <w:kern w:val="2"/>
          <w:sz w:val="44"/>
          <w:szCs w:val="44"/>
          <w:u w:val="none"/>
        </w:rPr>
        <w:t>》的</w:t>
      </w:r>
      <w:r>
        <w:rPr>
          <w:rFonts w:hint="eastAsia" w:eastAsia="方正小标宋_GBK"/>
          <w:kern w:val="2"/>
          <w:sz w:val="44"/>
          <w:szCs w:val="44"/>
          <w:u w:val="none"/>
        </w:rPr>
        <w:t>通知</w:t>
      </w:r>
    </w:p>
    <w:p>
      <w:pPr>
        <w:adjustRightInd/>
        <w:spacing w:after="0" w:line="240" w:lineRule="auto"/>
        <w:jc w:val="center"/>
        <w:rPr>
          <w:u w:val="single"/>
        </w:rPr>
      </w:pPr>
    </w:p>
    <w:p>
      <w:pPr>
        <w:adjustRightInd/>
        <w:spacing w:after="0" w:line="240" w:lineRule="auto"/>
        <w:ind w:left="0" w:leftChars="0" w:right="0" w:rightChars="0"/>
        <w:rPr>
          <w:kern w:val="2"/>
          <w:u w:val="none"/>
        </w:rPr>
      </w:pPr>
      <w:r>
        <w:rPr>
          <w:rFonts w:hint="eastAsia"/>
          <w:kern w:val="2"/>
          <w:u w:val="none"/>
        </w:rPr>
        <w:t>各区县（自治县）发展改革、市场监管部门，市级相关部门，有关单位</w:t>
      </w:r>
      <w:r>
        <w:rPr>
          <w:kern w:val="2"/>
          <w:u w:val="none"/>
        </w:rPr>
        <w:t>：</w:t>
      </w:r>
    </w:p>
    <w:p>
      <w:pPr>
        <w:adjustRightInd/>
        <w:spacing w:after="0" w:line="240" w:lineRule="auto"/>
        <w:ind w:left="0" w:leftChars="0" w:right="0" w:rightChars="0" w:firstLine="632" w:firstLineChars="200"/>
        <w:rPr>
          <w:kern w:val="2"/>
          <w:u w:val="none"/>
        </w:rPr>
      </w:pPr>
      <w:r>
        <w:rPr>
          <w:rFonts w:hint="eastAsia"/>
          <w:kern w:val="2"/>
          <w:u w:val="none"/>
        </w:rPr>
        <w:t>为深入贯彻落实《</w:t>
      </w:r>
      <w:r>
        <w:rPr>
          <w:kern w:val="2"/>
          <w:u w:val="none"/>
        </w:rPr>
        <w:t>中共中央</w:t>
      </w:r>
      <w:r>
        <w:rPr>
          <w:kern w:val="2"/>
          <w:u w:val="none"/>
          <w:lang w:val="en"/>
        </w:rPr>
        <w:t xml:space="preserve"> </w:t>
      </w:r>
      <w:r>
        <w:rPr>
          <w:kern w:val="2"/>
          <w:u w:val="none"/>
        </w:rPr>
        <w:t>国务院关于加快建设全国统一大市场的意见</w:t>
      </w:r>
      <w:r>
        <w:rPr>
          <w:rFonts w:hint="eastAsia"/>
          <w:kern w:val="2"/>
          <w:u w:val="none"/>
        </w:rPr>
        <w:t>》决策部署和市委、市政府工作要求，市发展改革委、市市场监管局会同相关部门，研究制定了</w:t>
      </w:r>
      <w:r>
        <w:rPr>
          <w:kern w:val="2"/>
          <w:u w:val="none"/>
        </w:rPr>
        <w:t>《贯彻落实〈中共中央</w:t>
      </w:r>
      <w:r>
        <w:rPr>
          <w:kern w:val="2"/>
          <w:u w:val="none"/>
          <w:lang w:val="en"/>
        </w:rPr>
        <w:t xml:space="preserve"> </w:t>
      </w:r>
      <w:r>
        <w:rPr>
          <w:kern w:val="2"/>
          <w:u w:val="none"/>
        </w:rPr>
        <w:t>国务院关于加快建设全国统一大市场的意见〉任务分工</w:t>
      </w:r>
      <w:r>
        <w:rPr>
          <w:rFonts w:hint="eastAsia"/>
          <w:kern w:val="2"/>
          <w:u w:val="none"/>
        </w:rPr>
        <w:t>方案</w:t>
      </w:r>
      <w:r>
        <w:rPr>
          <w:kern w:val="2"/>
          <w:u w:val="none"/>
        </w:rPr>
        <w:t>》</w:t>
      </w:r>
      <w:r>
        <w:rPr>
          <w:rFonts w:hint="eastAsia"/>
          <w:kern w:val="2"/>
          <w:u w:val="none"/>
        </w:rPr>
        <w:t>，现印发给你们，请认真贯彻落实。</w:t>
      </w:r>
    </w:p>
    <w:p>
      <w:pPr>
        <w:adjustRightInd/>
        <w:spacing w:after="0" w:line="240" w:lineRule="auto"/>
        <w:ind w:left="0" w:leftChars="0" w:right="0" w:rightChars="0" w:firstLine="632" w:firstLineChars="200"/>
        <w:rPr>
          <w:kern w:val="2"/>
          <w:u w:val="none"/>
        </w:rPr>
      </w:pPr>
    </w:p>
    <w:p>
      <w:pPr>
        <w:adjustRightInd/>
        <w:spacing w:after="0" w:line="240" w:lineRule="auto"/>
        <w:ind w:left="0" w:leftChars="0" w:right="0" w:rightChars="0" w:firstLine="632" w:firstLineChars="200"/>
        <w:rPr>
          <w:kern w:val="2"/>
          <w:u w:val="none"/>
        </w:rPr>
      </w:pPr>
    </w:p>
    <w:p>
      <w:pPr>
        <w:adjustRightInd/>
        <w:spacing w:after="0" w:line="240" w:lineRule="auto"/>
        <w:ind w:left="0"/>
        <w:rPr>
          <w:rFonts w:eastAsia="宋体"/>
          <w:u w:val="none"/>
        </w:rPr>
      </w:pPr>
    </w:p>
    <w:p>
      <w:pPr>
        <w:adjustRightInd/>
        <w:spacing w:after="0" w:line="240" w:lineRule="auto"/>
        <w:ind w:left="0" w:leftChars="0" w:right="0" w:rightChars="0" w:firstLine="0" w:firstLineChars="0"/>
        <w:rPr>
          <w:kern w:val="2"/>
          <w:u w:val="none"/>
        </w:rPr>
      </w:pPr>
      <w:r>
        <w:rPr>
          <w:rFonts w:hint="eastAsia" w:eastAsia="宋体"/>
          <w:u w:val="none"/>
          <w:lang w:val="en-US" w:eastAsia="zh-CN"/>
        </w:rPr>
        <w:t xml:space="preserve">  </w:t>
      </w:r>
      <w:r>
        <w:rPr>
          <w:rFonts w:hint="eastAsia"/>
          <w:kern w:val="2"/>
          <w:u w:val="none"/>
        </w:rPr>
        <w:t xml:space="preserve">重庆市发展和改革委员会    </w:t>
      </w:r>
      <w:r>
        <w:rPr>
          <w:rFonts w:hint="eastAsia"/>
          <w:kern w:val="2"/>
          <w:u w:val="none"/>
          <w:lang w:val="en-US" w:eastAsia="zh-CN"/>
        </w:rPr>
        <w:t xml:space="preserve"> </w:t>
      </w:r>
      <w:r>
        <w:rPr>
          <w:rFonts w:hint="eastAsia"/>
          <w:kern w:val="2"/>
          <w:u w:val="none"/>
        </w:rPr>
        <w:t xml:space="preserve">   重庆市市场监督管理局</w:t>
      </w:r>
    </w:p>
    <w:p>
      <w:pPr>
        <w:wordWrap w:val="0"/>
        <w:adjustRightInd/>
        <w:spacing w:after="0" w:line="240" w:lineRule="auto"/>
        <w:ind w:left="0" w:leftChars="0" w:right="0" w:rightChars="0" w:firstLine="632" w:firstLineChars="200"/>
        <w:jc w:val="center"/>
        <w:rPr>
          <w:kern w:val="2"/>
          <w:u w:val="none"/>
        </w:rPr>
      </w:pPr>
      <w:r>
        <w:rPr>
          <w:rFonts w:hint="eastAsia"/>
          <w:kern w:val="2"/>
          <w:u w:val="none"/>
          <w:lang w:val="en-US" w:eastAsia="zh-CN"/>
        </w:rPr>
        <w:t xml:space="preserve">                          </w:t>
      </w:r>
      <w:r>
        <w:rPr>
          <w:kern w:val="2"/>
          <w:u w:val="none"/>
        </w:rPr>
        <w:t>2022年</w:t>
      </w:r>
      <w:r>
        <w:rPr>
          <w:rFonts w:hint="eastAsia"/>
          <w:kern w:val="2"/>
          <w:u w:val="none"/>
        </w:rPr>
        <w:t>8</w:t>
      </w:r>
      <w:r>
        <w:rPr>
          <w:kern w:val="2"/>
          <w:u w:val="none"/>
        </w:rPr>
        <w:t>月</w:t>
      </w:r>
      <w:r>
        <w:rPr>
          <w:rFonts w:hint="eastAsia"/>
          <w:kern w:val="2"/>
          <w:u w:val="none"/>
          <w:lang w:val="en-US" w:eastAsia="zh-CN"/>
        </w:rPr>
        <w:t>3</w:t>
      </w:r>
      <w:r>
        <w:rPr>
          <w:kern w:val="2"/>
          <w:u w:val="none"/>
        </w:rPr>
        <w:t xml:space="preserve">日   </w:t>
      </w:r>
    </w:p>
    <w:p>
      <w:pPr>
        <w:adjustRightInd/>
        <w:spacing w:after="0" w:line="240" w:lineRule="auto"/>
        <w:textAlignment w:val="auto"/>
        <w:rPr>
          <w:rFonts w:hint="default" w:ascii="Times New Roman" w:hAnsi="Times New Roman" w:eastAsia="方正仿宋_GBK"/>
          <w:u w:val="none"/>
          <w:lang w:val="en-US" w:eastAsia="zh-CN"/>
        </w:rPr>
      </w:pPr>
      <w:r>
        <w:rPr>
          <w:rFonts w:hint="eastAsia" w:ascii="Times New Roman" w:hAnsi="Times New Roman"/>
          <w:u w:val="none"/>
          <w:lang w:val="en-US" w:eastAsia="zh-CN"/>
        </w:rPr>
        <w:t xml:space="preserve">    </w:t>
      </w:r>
    </w:p>
    <w:p>
      <w:pPr>
        <w:adjustRightInd/>
        <w:spacing w:after="0" w:line="240" w:lineRule="auto"/>
        <w:textAlignment w:val="auto"/>
        <w:rPr>
          <w:rFonts w:ascii="Times New Roman" w:hAnsi="Times New Roman"/>
          <w:u w:val="none"/>
        </w:rPr>
      </w:pPr>
    </w:p>
    <w:p>
      <w:pPr>
        <w:adjustRightInd/>
        <w:spacing w:after="0" w:line="240" w:lineRule="auto"/>
        <w:rPr>
          <w:rFonts w:hint="eastAsia"/>
          <w:kern w:val="2"/>
          <w:u w:val="none"/>
        </w:rPr>
      </w:pPr>
      <w:r>
        <w:rPr>
          <w:u w:val="none"/>
        </w:rPr>
        <w:br w:type="page"/>
      </w:r>
    </w:p>
    <w:p>
      <w:pPr>
        <w:adjustRightInd/>
        <w:spacing w:after="0" w:line="580" w:lineRule="exact"/>
        <w:jc w:val="center"/>
        <w:textAlignment w:val="auto"/>
        <w:rPr>
          <w:rFonts w:hint="default" w:ascii="Times New Roman" w:hAnsi="Times New Roman" w:eastAsia="方正小标宋_GBK" w:cs="Times New Roman"/>
          <w:kern w:val="2"/>
          <w:sz w:val="44"/>
          <w:szCs w:val="44"/>
          <w:u w:val="none"/>
        </w:rPr>
      </w:pPr>
      <w:r>
        <w:rPr>
          <w:rFonts w:hint="default" w:ascii="Times New Roman" w:hAnsi="Times New Roman" w:eastAsia="方正小标宋_GBK" w:cs="Times New Roman"/>
          <w:kern w:val="2"/>
          <w:sz w:val="44"/>
          <w:szCs w:val="44"/>
          <w:u w:val="none"/>
        </w:rPr>
        <w:t>贯彻落实《中共中央 国务院关于</w:t>
      </w:r>
    </w:p>
    <w:p>
      <w:pPr>
        <w:adjustRightInd/>
        <w:spacing w:after="0" w:line="580" w:lineRule="exact"/>
        <w:jc w:val="center"/>
        <w:textAlignment w:val="auto"/>
        <w:rPr>
          <w:rFonts w:hint="default" w:ascii="Times New Roman" w:hAnsi="Times New Roman" w:eastAsia="方正小标宋_GBK" w:cs="Times New Roman"/>
          <w:spacing w:val="-6"/>
          <w:kern w:val="2"/>
          <w:sz w:val="44"/>
          <w:szCs w:val="44"/>
          <w:u w:val="none"/>
        </w:rPr>
      </w:pPr>
      <w:r>
        <w:rPr>
          <w:rFonts w:hint="default" w:ascii="Times New Roman" w:hAnsi="Times New Roman" w:eastAsia="方正小标宋_GBK" w:cs="Times New Roman"/>
          <w:spacing w:val="-6"/>
          <w:kern w:val="2"/>
          <w:sz w:val="44"/>
          <w:szCs w:val="44"/>
          <w:u w:val="none"/>
        </w:rPr>
        <w:t>加快建设全国统一大市场的意见》任务分工方案</w:t>
      </w:r>
    </w:p>
    <w:p>
      <w:pPr>
        <w:adjustRightInd/>
        <w:spacing w:after="0" w:line="240" w:lineRule="auto"/>
        <w:jc w:val="center"/>
        <w:textAlignment w:val="auto"/>
        <w:rPr>
          <w:kern w:val="2"/>
          <w:szCs w:val="20"/>
          <w:u w:val="none"/>
        </w:rPr>
      </w:pPr>
    </w:p>
    <w:p>
      <w:pPr>
        <w:adjustRightInd/>
        <w:spacing w:after="0" w:line="240" w:lineRule="auto"/>
        <w:ind w:firstLine="632" w:firstLineChars="200"/>
        <w:textAlignment w:val="auto"/>
        <w:rPr>
          <w:kern w:val="2"/>
          <w:szCs w:val="20"/>
          <w:u w:val="none"/>
        </w:rPr>
      </w:pPr>
      <w:r>
        <w:rPr>
          <w:kern w:val="2"/>
          <w:szCs w:val="20"/>
          <w:u w:val="none"/>
        </w:rPr>
        <w:t>为贯彻落实《中共中央</w:t>
      </w:r>
      <w:r>
        <w:rPr>
          <w:rFonts w:hint="eastAsia"/>
          <w:kern w:val="2"/>
          <w:szCs w:val="20"/>
          <w:u w:val="none"/>
        </w:rPr>
        <w:t xml:space="preserve"> </w:t>
      </w:r>
      <w:r>
        <w:rPr>
          <w:kern w:val="2"/>
          <w:szCs w:val="20"/>
          <w:u w:val="none"/>
        </w:rPr>
        <w:t>国务院关于加快建设全国统一大市场的意见》，确保中央部署的各项任务落到实处，结合我市实际，制定</w:t>
      </w:r>
      <w:r>
        <w:rPr>
          <w:rFonts w:hint="eastAsia"/>
          <w:kern w:val="2"/>
          <w:szCs w:val="20"/>
          <w:u w:val="none"/>
        </w:rPr>
        <w:t>如下任务分工方案</w:t>
      </w:r>
      <w:r>
        <w:rPr>
          <w:kern w:val="2"/>
          <w:szCs w:val="20"/>
          <w:u w:val="none"/>
        </w:rPr>
        <w:t>。</w:t>
      </w:r>
    </w:p>
    <w:p>
      <w:pPr>
        <w:adjustRightInd/>
        <w:spacing w:after="0" w:line="240" w:lineRule="auto"/>
        <w:ind w:firstLine="632" w:firstLineChars="200"/>
        <w:textAlignment w:val="auto"/>
        <w:rPr>
          <w:rFonts w:eastAsia="方正黑体_GBK"/>
          <w:kern w:val="2"/>
          <w:szCs w:val="20"/>
          <w:u w:val="none"/>
        </w:rPr>
      </w:pPr>
      <w:r>
        <w:rPr>
          <w:rFonts w:eastAsia="方正黑体_GBK"/>
          <w:kern w:val="2"/>
          <w:szCs w:val="20"/>
          <w:u w:val="none"/>
        </w:rPr>
        <w:t>一、对标完善市场基础制度规则</w:t>
      </w:r>
    </w:p>
    <w:p>
      <w:pPr>
        <w:widowControl w:val="0"/>
        <w:adjustRightInd/>
        <w:spacing w:after="0" w:line="240" w:lineRule="auto"/>
        <w:ind w:firstLine="632" w:firstLineChars="200"/>
        <w:jc w:val="left"/>
        <w:textAlignment w:val="auto"/>
        <w:rPr>
          <w:spacing w:val="-4"/>
          <w:kern w:val="2"/>
          <w:szCs w:val="20"/>
          <w:u w:val="none"/>
        </w:rPr>
      </w:pPr>
      <w:r>
        <w:rPr>
          <w:rFonts w:eastAsia="方正楷体_GBK"/>
          <w:kern w:val="2"/>
          <w:szCs w:val="20"/>
          <w:u w:val="none"/>
        </w:rPr>
        <w:t>（一）</w:t>
      </w:r>
      <w:r>
        <w:rPr>
          <w:rFonts w:eastAsia="方正楷体_GBK"/>
          <w:u w:val="none"/>
        </w:rPr>
        <w:t>强化企业合法权益保护</w:t>
      </w:r>
      <w:r>
        <w:rPr>
          <w:rFonts w:eastAsia="方正楷体_GBK"/>
          <w:kern w:val="2"/>
          <w:szCs w:val="20"/>
          <w:u w:val="none"/>
        </w:rPr>
        <w:t>。（1）</w:t>
      </w:r>
      <w:r>
        <w:rPr>
          <w:kern w:val="2"/>
          <w:szCs w:val="20"/>
          <w:u w:val="none"/>
        </w:rPr>
        <w:t>完善依法平等保护各种所有制经济产权的制度体系，健全涉产权纠纷案件执法司法体系，规范执法领域涉产权强制措施规则和程序，统一行政执法、司法裁判标准，强化行政执法和刑事司法双向衔接，依法保护企业产权及企业家人身财产安全</w:t>
      </w:r>
      <w:r>
        <w:rPr>
          <w:rFonts w:eastAsia="方正楷体_GBK"/>
          <w:kern w:val="2"/>
          <w:szCs w:val="20"/>
          <w:u w:val="none"/>
        </w:rPr>
        <w:t>。（2）</w:t>
      </w:r>
      <w:r>
        <w:rPr>
          <w:kern w:val="2"/>
          <w:szCs w:val="20"/>
          <w:u w:val="none"/>
        </w:rPr>
        <w:t>开展涉案企业合规改</w:t>
      </w:r>
      <w:r>
        <w:rPr>
          <w:spacing w:val="-4"/>
          <w:kern w:val="2"/>
          <w:szCs w:val="20"/>
          <w:u w:val="none"/>
        </w:rPr>
        <w:t>革试点，强化诉源治理。</w:t>
      </w:r>
      <w:r>
        <w:rPr>
          <w:rFonts w:eastAsia="方正楷体_GBK"/>
          <w:kern w:val="2"/>
          <w:szCs w:val="20"/>
          <w:u w:val="none"/>
        </w:rPr>
        <w:t>（3）</w:t>
      </w:r>
      <w:r>
        <w:rPr>
          <w:spacing w:val="-4"/>
          <w:kern w:val="2"/>
          <w:szCs w:val="20"/>
          <w:u w:val="none"/>
        </w:rPr>
        <w:t>高水平建设成渝金融法院和重庆破产法庭，完善府院联动的市场主体退出与救治机制，健全司法服务和保障市场主体创新机制。</w:t>
      </w:r>
      <w:r>
        <w:rPr>
          <w:rFonts w:eastAsia="方正楷体_GBK"/>
          <w:kern w:val="2"/>
          <w:szCs w:val="20"/>
          <w:u w:val="none"/>
        </w:rPr>
        <w:t>（4）</w:t>
      </w:r>
      <w:r>
        <w:rPr>
          <w:spacing w:val="-4"/>
          <w:kern w:val="2"/>
          <w:szCs w:val="20"/>
          <w:u w:val="none"/>
        </w:rPr>
        <w:t>探索建立企业合法权益补偿救济机制。</w:t>
      </w:r>
    </w:p>
    <w:p>
      <w:pPr>
        <w:widowControl w:val="0"/>
        <w:adjustRightInd/>
        <w:spacing w:after="0" w:line="240" w:lineRule="auto"/>
        <w:ind w:firstLine="616" w:firstLineChars="200"/>
        <w:jc w:val="left"/>
        <w:textAlignment w:val="auto"/>
        <w:rPr>
          <w:rFonts w:eastAsia="方正黑体_GBK"/>
          <w:kern w:val="2"/>
          <w:szCs w:val="20"/>
          <w:u w:val="none"/>
        </w:rPr>
      </w:pPr>
      <w:r>
        <w:rPr>
          <w:rFonts w:eastAsia="方正楷体_GBK"/>
          <w:spacing w:val="-4"/>
          <w:u w:val="none"/>
        </w:rPr>
        <w:t>进度安排：</w:t>
      </w:r>
      <w:r>
        <w:rPr>
          <w:spacing w:val="-4"/>
          <w:kern w:val="2"/>
          <w:szCs w:val="20"/>
          <w:u w:val="none"/>
        </w:rPr>
        <w:t>（1）（2）项持续推进，（3）（4）项2022年底前完成。</w:t>
      </w:r>
    </w:p>
    <w:p>
      <w:pPr>
        <w:widowControl w:val="0"/>
        <w:adjustRightInd/>
        <w:spacing w:after="0" w:line="240" w:lineRule="auto"/>
        <w:ind w:firstLine="616" w:firstLineChars="200"/>
        <w:jc w:val="left"/>
        <w:textAlignment w:val="auto"/>
        <w:rPr>
          <w:rFonts w:eastAsia="方正楷体_GBK"/>
          <w:spacing w:val="-4"/>
          <w:u w:val="none"/>
        </w:rPr>
      </w:pPr>
      <w:r>
        <w:rPr>
          <w:rFonts w:eastAsia="方正楷体_GBK"/>
          <w:spacing w:val="-4"/>
          <w:u w:val="none"/>
        </w:rPr>
        <w:t>责任单位：</w:t>
      </w:r>
      <w:r>
        <w:rPr>
          <w:spacing w:val="-4"/>
          <w:kern w:val="2"/>
          <w:szCs w:val="20"/>
          <w:u w:val="none"/>
        </w:rPr>
        <w:t>市委政法委、市高法院、市检察院、市司法局、市公安局、市发展改革委，各区县</w:t>
      </w:r>
    </w:p>
    <w:p>
      <w:pPr>
        <w:widowControl w:val="0"/>
        <w:adjustRightInd/>
        <w:spacing w:after="0" w:line="240" w:lineRule="auto"/>
        <w:ind w:firstLine="632" w:firstLineChars="200"/>
        <w:jc w:val="left"/>
        <w:textAlignment w:val="auto"/>
        <w:rPr>
          <w:spacing w:val="-4"/>
          <w:kern w:val="2"/>
          <w:szCs w:val="20"/>
          <w:u w:val="none"/>
        </w:rPr>
      </w:pPr>
      <w:r>
        <w:rPr>
          <w:rFonts w:eastAsia="方正楷体_GBK"/>
          <w:u w:val="none"/>
        </w:rPr>
        <w:t>（二）健全知识产权保护制度。</w:t>
      </w:r>
      <w:r>
        <w:rPr>
          <w:rFonts w:eastAsia="方正楷体_GBK"/>
          <w:kern w:val="2"/>
          <w:szCs w:val="20"/>
          <w:u w:val="none"/>
        </w:rPr>
        <w:t>（1）</w:t>
      </w:r>
      <w:r>
        <w:rPr>
          <w:kern w:val="2"/>
          <w:szCs w:val="20"/>
          <w:u w:val="none"/>
        </w:rPr>
        <w:t>建设重庆知识产权法庭，健全知识产权民事、刑事、行政案件</w:t>
      </w:r>
      <w:r>
        <w:rPr>
          <w:rFonts w:hint="eastAsia"/>
          <w:kern w:val="2"/>
          <w:szCs w:val="20"/>
          <w:u w:val="none"/>
        </w:rPr>
        <w:t>“</w:t>
      </w:r>
      <w:r>
        <w:rPr>
          <w:kern w:val="2"/>
          <w:szCs w:val="20"/>
          <w:u w:val="none"/>
        </w:rPr>
        <w:t>三合一</w:t>
      </w:r>
      <w:r>
        <w:rPr>
          <w:rFonts w:hint="eastAsia"/>
          <w:kern w:val="2"/>
          <w:szCs w:val="20"/>
          <w:u w:val="none"/>
        </w:rPr>
        <w:t>”</w:t>
      </w:r>
      <w:r>
        <w:rPr>
          <w:kern w:val="2"/>
          <w:szCs w:val="20"/>
          <w:u w:val="none"/>
        </w:rPr>
        <w:t>审判机制和检察职能集中统一履行机制。</w:t>
      </w:r>
      <w:r>
        <w:rPr>
          <w:rFonts w:eastAsia="方正楷体_GBK"/>
          <w:kern w:val="2"/>
          <w:szCs w:val="20"/>
          <w:u w:val="none"/>
        </w:rPr>
        <w:t>（2）</w:t>
      </w:r>
      <w:r>
        <w:rPr>
          <w:kern w:val="2"/>
          <w:szCs w:val="20"/>
          <w:u w:val="none"/>
        </w:rPr>
        <w:t>修订《重庆市专利促进与保护条例》。</w:t>
      </w:r>
      <w:r>
        <w:rPr>
          <w:rFonts w:eastAsia="方正楷体_GBK"/>
          <w:kern w:val="2"/>
          <w:szCs w:val="20"/>
          <w:u w:val="none"/>
        </w:rPr>
        <w:t>（3）</w:t>
      </w:r>
      <w:r>
        <w:rPr>
          <w:kern w:val="2"/>
          <w:szCs w:val="20"/>
          <w:u w:val="none"/>
        </w:rPr>
        <w:t>高标准建设重庆知识产权保护中心，加强创新型中小企业知识产权保护，开展市级专利代理机构监管职能委托试点。</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spacing w:val="-4"/>
          <w:kern w:val="2"/>
          <w:szCs w:val="20"/>
          <w:u w:val="none"/>
        </w:rPr>
        <w:t>持续推进</w:t>
      </w:r>
    </w:p>
    <w:p>
      <w:pPr>
        <w:widowControl w:val="0"/>
        <w:adjustRightInd/>
        <w:spacing w:after="0" w:line="240" w:lineRule="auto"/>
        <w:ind w:firstLine="616" w:firstLineChars="200"/>
        <w:jc w:val="left"/>
        <w:textAlignment w:val="auto"/>
        <w:rPr>
          <w:rFonts w:eastAsia="方正楷体_GBK"/>
          <w:kern w:val="2"/>
          <w:szCs w:val="20"/>
          <w:u w:val="none"/>
        </w:rPr>
      </w:pPr>
      <w:r>
        <w:rPr>
          <w:rFonts w:eastAsia="方正楷体_GBK"/>
          <w:spacing w:val="-4"/>
          <w:kern w:val="2"/>
          <w:szCs w:val="20"/>
          <w:u w:val="none"/>
        </w:rPr>
        <w:t>责任单位：</w:t>
      </w:r>
      <w:r>
        <w:rPr>
          <w:spacing w:val="-4"/>
          <w:kern w:val="2"/>
          <w:szCs w:val="20"/>
          <w:u w:val="none"/>
        </w:rPr>
        <w:t>市高法院、市检察院、市市场监管局、市知识产权局、市公安局，市级有关部门</w:t>
      </w:r>
    </w:p>
    <w:p>
      <w:pPr>
        <w:adjustRightInd/>
        <w:spacing w:after="0" w:line="240" w:lineRule="auto"/>
        <w:ind w:firstLine="632" w:firstLineChars="200"/>
        <w:textAlignment w:val="auto"/>
        <w:rPr>
          <w:kern w:val="2"/>
          <w:szCs w:val="20"/>
          <w:u w:val="none"/>
        </w:rPr>
      </w:pPr>
      <w:r>
        <w:rPr>
          <w:rFonts w:eastAsia="方正楷体_GBK"/>
          <w:kern w:val="2"/>
          <w:szCs w:val="20"/>
          <w:u w:val="none"/>
        </w:rPr>
        <w:t>（三）全面落实市场准入制度。（1）</w:t>
      </w:r>
      <w:r>
        <w:rPr>
          <w:kern w:val="2"/>
          <w:szCs w:val="20"/>
          <w:u w:val="none"/>
        </w:rPr>
        <w:t>严格落实</w:t>
      </w:r>
      <w:r>
        <w:rPr>
          <w:rFonts w:hint="eastAsia"/>
          <w:kern w:val="2"/>
          <w:szCs w:val="20"/>
          <w:u w:val="none"/>
        </w:rPr>
        <w:t>“</w:t>
      </w:r>
      <w:r>
        <w:rPr>
          <w:kern w:val="2"/>
          <w:szCs w:val="20"/>
          <w:u w:val="none"/>
        </w:rPr>
        <w:t>全国一张清单</w:t>
      </w:r>
      <w:r>
        <w:rPr>
          <w:rFonts w:hint="eastAsia"/>
          <w:kern w:val="2"/>
          <w:szCs w:val="20"/>
          <w:u w:val="none"/>
        </w:rPr>
        <w:t>”</w:t>
      </w:r>
      <w:r>
        <w:rPr>
          <w:spacing w:val="-4"/>
          <w:kern w:val="2"/>
          <w:szCs w:val="20"/>
          <w:u w:val="none"/>
        </w:rPr>
        <w:t>管理模式，建立健全与市场准入负面清单制度相衔接的政务服务、</w:t>
      </w:r>
      <w:r>
        <w:rPr>
          <w:kern w:val="2"/>
          <w:szCs w:val="20"/>
          <w:u w:val="none"/>
        </w:rPr>
        <w:t>行政许可、社会信用、商事登记等制度，推动</w:t>
      </w:r>
      <w:r>
        <w:rPr>
          <w:rFonts w:hint="eastAsia"/>
          <w:kern w:val="2"/>
          <w:szCs w:val="20"/>
          <w:u w:val="none"/>
        </w:rPr>
        <w:t>“</w:t>
      </w:r>
      <w:r>
        <w:rPr>
          <w:kern w:val="2"/>
          <w:szCs w:val="20"/>
          <w:u w:val="none"/>
        </w:rPr>
        <w:t>非禁即入</w:t>
      </w:r>
      <w:r>
        <w:rPr>
          <w:rFonts w:hint="eastAsia"/>
          <w:kern w:val="2"/>
          <w:szCs w:val="20"/>
          <w:u w:val="none"/>
        </w:rPr>
        <w:t>”</w:t>
      </w:r>
      <w:r>
        <w:rPr>
          <w:kern w:val="2"/>
          <w:szCs w:val="20"/>
          <w:u w:val="none"/>
        </w:rPr>
        <w:t>全面落实。</w:t>
      </w:r>
      <w:r>
        <w:rPr>
          <w:rFonts w:eastAsia="方正楷体_GBK"/>
          <w:kern w:val="2"/>
          <w:szCs w:val="20"/>
          <w:u w:val="none"/>
        </w:rPr>
        <w:t>（2）</w:t>
      </w:r>
      <w:r>
        <w:rPr>
          <w:kern w:val="2"/>
          <w:szCs w:val="20"/>
          <w:u w:val="none"/>
        </w:rPr>
        <w:t>完善违背市场准入负面清单案例定期排查归集制度，建立健全违规问题线索投诉、处置、反馈闭环机制。</w:t>
      </w:r>
      <w:r>
        <w:rPr>
          <w:rFonts w:eastAsia="方正楷体_GBK"/>
          <w:kern w:val="2"/>
          <w:szCs w:val="20"/>
          <w:u w:val="none"/>
        </w:rPr>
        <w:t>（3）</w:t>
      </w:r>
      <w:r>
        <w:rPr>
          <w:kern w:val="2"/>
          <w:szCs w:val="20"/>
          <w:u w:val="none"/>
        </w:rPr>
        <w:t>探索建立市场准入效能评估制度体系和结果运用长效机制。</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spacing w:val="-4"/>
          <w:kern w:val="2"/>
          <w:szCs w:val="20"/>
          <w:u w:val="none"/>
        </w:rPr>
        <w:t>（1）（2）项持续推进，（3）项2022年底前完成。</w:t>
      </w:r>
    </w:p>
    <w:p>
      <w:pPr>
        <w:adjustRightInd/>
        <w:spacing w:after="0" w:line="240" w:lineRule="auto"/>
        <w:ind w:firstLine="632" w:firstLineChars="200"/>
        <w:textAlignment w:val="auto"/>
        <w:rPr>
          <w:rFonts w:eastAsia="方正楷体_GBK"/>
          <w:u w:val="none"/>
        </w:rPr>
      </w:pPr>
      <w:r>
        <w:rPr>
          <w:rFonts w:eastAsia="方正楷体_GBK"/>
          <w:u w:val="none"/>
        </w:rPr>
        <w:t>责任单位：</w:t>
      </w:r>
      <w:r>
        <w:rPr>
          <w:spacing w:val="-4"/>
          <w:kern w:val="2"/>
          <w:szCs w:val="20"/>
          <w:u w:val="none"/>
        </w:rPr>
        <w:t>市发展改革委、市商务委，市级有关部门，各区县</w:t>
      </w:r>
    </w:p>
    <w:p>
      <w:pPr>
        <w:adjustRightInd/>
        <w:spacing w:after="0" w:line="240" w:lineRule="auto"/>
        <w:ind w:firstLine="632" w:firstLineChars="200"/>
        <w:textAlignment w:val="auto"/>
        <w:rPr>
          <w:kern w:val="2"/>
          <w:szCs w:val="20"/>
          <w:u w:val="none"/>
        </w:rPr>
      </w:pPr>
      <w:r>
        <w:rPr>
          <w:rFonts w:eastAsia="方正楷体_GBK"/>
          <w:u w:val="none"/>
        </w:rPr>
        <w:t>（四）完善市场主体登记制度。</w:t>
      </w:r>
      <w:r>
        <w:rPr>
          <w:rFonts w:eastAsia="方正楷体_GBK"/>
          <w:kern w:val="2"/>
          <w:szCs w:val="20"/>
          <w:u w:val="none"/>
        </w:rPr>
        <w:t>（1）</w:t>
      </w:r>
      <w:r>
        <w:rPr>
          <w:kern w:val="2"/>
          <w:szCs w:val="20"/>
          <w:u w:val="none"/>
        </w:rPr>
        <w:t>落实全国统一的登记注册数据标准，统一企业名称自主申报行业字词库，根据产业发展和企业需求更新调整字词条目。</w:t>
      </w:r>
      <w:r>
        <w:rPr>
          <w:rFonts w:eastAsia="方正楷体_GBK"/>
          <w:kern w:val="2"/>
          <w:szCs w:val="20"/>
          <w:u w:val="none"/>
        </w:rPr>
        <w:t>（2）</w:t>
      </w:r>
      <w:r>
        <w:rPr>
          <w:kern w:val="2"/>
          <w:szCs w:val="20"/>
          <w:u w:val="none"/>
        </w:rPr>
        <w:t>健全统一的市场主体登记管理系统，规范登记注册流程，强化部门信息共享和业务协同，提升登记注册便利化程度。</w:t>
      </w:r>
      <w:r>
        <w:rPr>
          <w:rFonts w:eastAsia="方正楷体_GBK"/>
          <w:kern w:val="2"/>
          <w:szCs w:val="20"/>
          <w:u w:val="none"/>
        </w:rPr>
        <w:t>（3）</w:t>
      </w:r>
      <w:r>
        <w:rPr>
          <w:kern w:val="2"/>
          <w:szCs w:val="20"/>
          <w:u w:val="none"/>
        </w:rPr>
        <w:t>开展经营范围规范化登记，实现标准统一、内容统一、动态更新。</w:t>
      </w:r>
      <w:r>
        <w:rPr>
          <w:rFonts w:eastAsia="方正楷体_GBK"/>
          <w:kern w:val="2"/>
          <w:szCs w:val="20"/>
          <w:u w:val="none"/>
        </w:rPr>
        <w:t>（4）</w:t>
      </w:r>
      <w:r>
        <w:rPr>
          <w:kern w:val="2"/>
          <w:szCs w:val="20"/>
          <w:u w:val="none"/>
        </w:rPr>
        <w:t>稳妥推进实施歇业制度，降低市场主体维持成本。</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spacing w:val="-4"/>
          <w:kern w:val="2"/>
          <w:szCs w:val="20"/>
          <w:u w:val="none"/>
        </w:rPr>
        <w:t>持续推进</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责任单位：</w:t>
      </w:r>
      <w:r>
        <w:rPr>
          <w:spacing w:val="-4"/>
          <w:kern w:val="2"/>
          <w:szCs w:val="20"/>
          <w:u w:val="none"/>
        </w:rPr>
        <w:t>市市场监管局</w:t>
      </w:r>
    </w:p>
    <w:p>
      <w:pPr>
        <w:widowControl w:val="0"/>
        <w:adjustRightInd/>
        <w:spacing w:after="0" w:line="240" w:lineRule="auto"/>
        <w:ind w:firstLine="632" w:firstLineChars="200"/>
        <w:jc w:val="left"/>
        <w:textAlignment w:val="auto"/>
        <w:rPr>
          <w:rFonts w:eastAsia="方正楷体_GBK"/>
          <w:kern w:val="2"/>
          <w:szCs w:val="20"/>
          <w:u w:val="none"/>
        </w:rPr>
      </w:pPr>
      <w:r>
        <w:rPr>
          <w:rFonts w:eastAsia="方正楷体_GBK"/>
          <w:kern w:val="2"/>
          <w:szCs w:val="20"/>
          <w:u w:val="none"/>
        </w:rPr>
        <w:t>（五）健全公平竞争审查机制。（1）</w:t>
      </w:r>
      <w:r>
        <w:rPr>
          <w:kern w:val="2"/>
          <w:szCs w:val="20"/>
          <w:u w:val="none"/>
        </w:rPr>
        <w:t>全面实施《公平竞争审查制度实施细则》，健全联合会审、举报处理等配套制度。</w:t>
      </w:r>
      <w:r>
        <w:rPr>
          <w:rFonts w:eastAsia="方正楷体_GBK"/>
          <w:kern w:val="2"/>
          <w:szCs w:val="20"/>
          <w:u w:val="none"/>
        </w:rPr>
        <w:t>（2）</w:t>
      </w:r>
      <w:r>
        <w:rPr>
          <w:kern w:val="2"/>
          <w:szCs w:val="20"/>
          <w:u w:val="none"/>
        </w:rPr>
        <w:t>建立以竞争政策为基础的产业政策协调机制，研究制定招商引资、政企合作、招标投标等重点领域公平竞争审查工作规则。</w:t>
      </w:r>
      <w:r>
        <w:rPr>
          <w:rFonts w:eastAsia="方正楷体_GBK"/>
          <w:kern w:val="2"/>
          <w:szCs w:val="20"/>
          <w:u w:val="none"/>
        </w:rPr>
        <w:t>（3）</w:t>
      </w:r>
      <w:r>
        <w:rPr>
          <w:kern w:val="2"/>
          <w:szCs w:val="20"/>
          <w:u w:val="none"/>
        </w:rPr>
        <w:t>完善公平竞争审查第三方评估制度，建立市场竞争状况评估指标体系和监测监管机制。</w:t>
      </w:r>
    </w:p>
    <w:p>
      <w:pPr>
        <w:widowControl w:val="0"/>
        <w:adjustRightInd/>
        <w:spacing w:after="0" w:line="240" w:lineRule="auto"/>
        <w:ind w:firstLine="616" w:firstLineChars="200"/>
        <w:jc w:val="left"/>
        <w:textAlignment w:val="auto"/>
        <w:rPr>
          <w:spacing w:val="-4"/>
          <w:kern w:val="2"/>
          <w:szCs w:val="20"/>
          <w:u w:val="none"/>
        </w:rPr>
      </w:pPr>
      <w:r>
        <w:rPr>
          <w:rFonts w:eastAsia="方正楷体_GBK"/>
          <w:spacing w:val="-4"/>
          <w:u w:val="none"/>
        </w:rPr>
        <w:t>进度安排：</w:t>
      </w:r>
      <w:r>
        <w:rPr>
          <w:spacing w:val="-4"/>
          <w:kern w:val="2"/>
          <w:szCs w:val="20"/>
          <w:u w:val="none"/>
        </w:rPr>
        <w:t>2022年底前完成</w:t>
      </w:r>
    </w:p>
    <w:p>
      <w:pPr>
        <w:widowControl w:val="0"/>
        <w:adjustRightInd/>
        <w:spacing w:after="0" w:line="240" w:lineRule="auto"/>
        <w:ind w:firstLine="632" w:firstLineChars="200"/>
        <w:jc w:val="left"/>
        <w:textAlignment w:val="auto"/>
        <w:rPr>
          <w:rFonts w:eastAsia="方正楷体_GBK"/>
          <w:kern w:val="2"/>
          <w:szCs w:val="20"/>
          <w:u w:val="none"/>
        </w:rPr>
      </w:pPr>
      <w:r>
        <w:rPr>
          <w:rFonts w:eastAsia="方正楷体_GBK"/>
          <w:kern w:val="2"/>
          <w:szCs w:val="20"/>
          <w:u w:val="none"/>
        </w:rPr>
        <w:t>责任单位：</w:t>
      </w:r>
      <w:r>
        <w:rPr>
          <w:spacing w:val="-4"/>
          <w:kern w:val="2"/>
          <w:szCs w:val="20"/>
          <w:u w:val="none"/>
        </w:rPr>
        <w:t>市市场监管局，市公平竞争联席会议成员单位，各区县</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（六）完善社会信用制度体系。（1）</w:t>
      </w:r>
      <w:r>
        <w:rPr>
          <w:kern w:val="2"/>
          <w:szCs w:val="20"/>
          <w:u w:val="none"/>
        </w:rPr>
        <w:t>落实全国公共信用信息基础目录，动态更新《重庆市公共信用信息补充目录》。</w:t>
      </w:r>
      <w:r>
        <w:rPr>
          <w:rFonts w:eastAsia="方正楷体_GBK"/>
          <w:kern w:val="2"/>
          <w:szCs w:val="20"/>
          <w:u w:val="none"/>
        </w:rPr>
        <w:t>（2）</w:t>
      </w:r>
      <w:r>
        <w:rPr>
          <w:kern w:val="2"/>
          <w:szCs w:val="20"/>
          <w:u w:val="none"/>
        </w:rPr>
        <w:t>研究制定《重庆市社会信用条例》配套政策。</w:t>
      </w:r>
      <w:r>
        <w:rPr>
          <w:rFonts w:eastAsia="方正楷体_GBK"/>
          <w:kern w:val="2"/>
          <w:szCs w:val="20"/>
          <w:u w:val="none"/>
        </w:rPr>
        <w:t>（3）</w:t>
      </w:r>
      <w:r>
        <w:rPr>
          <w:kern w:val="2"/>
          <w:szCs w:val="20"/>
          <w:u w:val="none"/>
        </w:rPr>
        <w:t>深化告知承诺制改革，加快建设全市统一的告知承诺系统。</w:t>
      </w:r>
      <w:r>
        <w:rPr>
          <w:rFonts w:eastAsia="方正楷体_GBK"/>
          <w:kern w:val="2"/>
          <w:szCs w:val="20"/>
          <w:u w:val="none"/>
        </w:rPr>
        <w:t>（4）</w:t>
      </w:r>
      <w:r>
        <w:rPr>
          <w:kern w:val="2"/>
          <w:szCs w:val="20"/>
          <w:u w:val="none"/>
        </w:rPr>
        <w:t>推进信用分级分类监管，健全公共信用综合评价和行业信用评价机制。</w:t>
      </w:r>
      <w:r>
        <w:rPr>
          <w:rFonts w:eastAsia="方正楷体_GBK"/>
          <w:kern w:val="2"/>
          <w:szCs w:val="20"/>
          <w:u w:val="none"/>
        </w:rPr>
        <w:t>（5）</w:t>
      </w:r>
      <w:r>
        <w:rPr>
          <w:kern w:val="2"/>
          <w:szCs w:val="20"/>
          <w:u w:val="none"/>
        </w:rPr>
        <w:t>编制《重庆市失信惩戒措施补</w:t>
      </w:r>
      <w:r>
        <w:rPr>
          <w:spacing w:val="-4"/>
          <w:kern w:val="2"/>
          <w:szCs w:val="20"/>
          <w:u w:val="none"/>
        </w:rPr>
        <w:t>充清单》，依法依规实施守信激励和失信惩戒。完善信用修复机制。</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spacing w:val="-4"/>
          <w:kern w:val="2"/>
          <w:szCs w:val="20"/>
          <w:u w:val="none"/>
        </w:rPr>
        <w:t>（2）项2022年底前完成，（1）（3）（4）（5）项持续推进。</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责任单位：</w:t>
      </w:r>
      <w:r>
        <w:rPr>
          <w:kern w:val="2"/>
          <w:szCs w:val="20"/>
          <w:u w:val="none"/>
        </w:rPr>
        <w:t>市发展改革委，市社会信用体系建设联席会议成员单位，各区县</w:t>
      </w:r>
    </w:p>
    <w:p>
      <w:pPr>
        <w:adjustRightInd/>
        <w:spacing w:after="0" w:line="240" w:lineRule="auto"/>
        <w:ind w:firstLine="632" w:firstLineChars="200"/>
        <w:textAlignment w:val="auto"/>
        <w:rPr>
          <w:rFonts w:eastAsia="方正黑体_GBK"/>
          <w:kern w:val="2"/>
          <w:szCs w:val="20"/>
          <w:u w:val="none"/>
        </w:rPr>
      </w:pPr>
      <w:r>
        <w:rPr>
          <w:rFonts w:eastAsia="方正黑体_GBK"/>
          <w:kern w:val="2"/>
          <w:szCs w:val="20"/>
          <w:u w:val="none"/>
        </w:rPr>
        <w:t>二、加快推进市场设施高标准联通</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（七）完善综合立体交通网络。（1）</w:t>
      </w:r>
      <w:r>
        <w:rPr>
          <w:kern w:val="2"/>
          <w:szCs w:val="20"/>
          <w:u w:val="none"/>
        </w:rPr>
        <w:t>加快我市构建面向国际、畅通全国的</w:t>
      </w:r>
      <w:r>
        <w:rPr>
          <w:rFonts w:hint="eastAsia"/>
          <w:kern w:val="2"/>
          <w:szCs w:val="20"/>
          <w:u w:val="none"/>
        </w:rPr>
        <w:t>“</w:t>
      </w:r>
      <w:r>
        <w:rPr>
          <w:kern w:val="2"/>
          <w:szCs w:val="20"/>
          <w:u w:val="none"/>
        </w:rPr>
        <w:t>4向3轴6廊</w:t>
      </w:r>
      <w:r>
        <w:rPr>
          <w:rFonts w:hint="eastAsia"/>
          <w:kern w:val="2"/>
          <w:szCs w:val="20"/>
          <w:u w:val="none"/>
        </w:rPr>
        <w:t>”</w:t>
      </w:r>
      <w:r>
        <w:rPr>
          <w:kern w:val="2"/>
          <w:szCs w:val="20"/>
          <w:u w:val="none"/>
        </w:rPr>
        <w:t>综合立体交通网对外运输大通道，扩大交通运输循环规模，形成贯通东中西、覆盖海陆空、连接海内外的对外交通格局。</w:t>
      </w:r>
      <w:r>
        <w:rPr>
          <w:rFonts w:eastAsia="方正楷体_GBK"/>
          <w:kern w:val="2"/>
          <w:szCs w:val="20"/>
          <w:u w:val="none"/>
        </w:rPr>
        <w:t>（2）</w:t>
      </w:r>
      <w:r>
        <w:rPr>
          <w:kern w:val="2"/>
          <w:szCs w:val="20"/>
          <w:u w:val="none"/>
        </w:rPr>
        <w:t>持续推进</w:t>
      </w:r>
      <w:r>
        <w:rPr>
          <w:rFonts w:hint="eastAsia"/>
          <w:kern w:val="2"/>
          <w:szCs w:val="20"/>
          <w:u w:val="none"/>
        </w:rPr>
        <w:t>“</w:t>
      </w:r>
      <w:r>
        <w:rPr>
          <w:kern w:val="2"/>
          <w:szCs w:val="20"/>
          <w:u w:val="none"/>
        </w:rPr>
        <w:t>交通强市</w:t>
      </w:r>
      <w:r>
        <w:rPr>
          <w:rFonts w:hint="eastAsia"/>
          <w:kern w:val="2"/>
          <w:szCs w:val="20"/>
          <w:u w:val="none"/>
        </w:rPr>
        <w:t>”</w:t>
      </w:r>
      <w:r>
        <w:rPr>
          <w:kern w:val="2"/>
          <w:szCs w:val="20"/>
          <w:u w:val="none"/>
        </w:rPr>
        <w:t>建设，加快重庆东站等重大交通项目基础设施建设。</w:t>
      </w:r>
      <w:r>
        <w:rPr>
          <w:rFonts w:eastAsia="方正楷体_GBK"/>
          <w:kern w:val="2"/>
          <w:szCs w:val="20"/>
          <w:u w:val="none"/>
        </w:rPr>
        <w:t>（3）</w:t>
      </w:r>
      <w:r>
        <w:rPr>
          <w:kern w:val="2"/>
          <w:szCs w:val="20"/>
          <w:u w:val="none"/>
        </w:rPr>
        <w:t>加快推进港口型、陆港型、空港型国家物流枢纽建设，积极申报建设商贸服务型、生产服务型枢纽。</w:t>
      </w:r>
      <w:r>
        <w:rPr>
          <w:rFonts w:eastAsia="方正楷体_GBK"/>
          <w:kern w:val="2"/>
          <w:szCs w:val="20"/>
          <w:u w:val="none"/>
        </w:rPr>
        <w:t>（4）</w:t>
      </w:r>
      <w:r>
        <w:rPr>
          <w:kern w:val="2"/>
          <w:szCs w:val="20"/>
          <w:u w:val="none"/>
        </w:rPr>
        <w:t>依托港口型国家物流枢纽，建设航运服务聚集区，壮大大宗商品交易中心。</w:t>
      </w:r>
      <w:r>
        <w:rPr>
          <w:rFonts w:eastAsia="方正楷体_GBK"/>
          <w:kern w:val="2"/>
          <w:szCs w:val="20"/>
          <w:u w:val="none"/>
        </w:rPr>
        <w:t>（5）</w:t>
      </w:r>
      <w:r>
        <w:rPr>
          <w:kern w:val="2"/>
          <w:szCs w:val="20"/>
          <w:u w:val="none"/>
        </w:rPr>
        <w:t>依托陆港型国家物流枢纽，高质量建设国际物流城升级版，高标准打造内陆国际物流枢纽展示中心。</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kern w:val="2"/>
          <w:szCs w:val="20"/>
          <w:u w:val="none"/>
        </w:rPr>
        <w:t>持续推进</w:t>
      </w:r>
    </w:p>
    <w:p>
      <w:pPr>
        <w:adjustRightInd/>
        <w:spacing w:after="0" w:line="240" w:lineRule="auto"/>
        <w:ind w:firstLine="632" w:firstLineChars="200"/>
        <w:textAlignment w:val="auto"/>
        <w:rPr>
          <w:kern w:val="2"/>
          <w:szCs w:val="20"/>
          <w:u w:val="none"/>
        </w:rPr>
      </w:pPr>
      <w:r>
        <w:rPr>
          <w:rFonts w:eastAsia="方正楷体_GBK"/>
          <w:kern w:val="2"/>
          <w:szCs w:val="20"/>
          <w:u w:val="none"/>
        </w:rPr>
        <w:t>责任单位：</w:t>
      </w:r>
      <w:r>
        <w:rPr>
          <w:kern w:val="2"/>
          <w:szCs w:val="20"/>
          <w:u w:val="none"/>
        </w:rPr>
        <w:t>市交通局、市政府口岸物流办</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（八）建设现代商贸流通网络</w:t>
      </w:r>
      <w:r>
        <w:rPr>
          <w:kern w:val="2"/>
          <w:szCs w:val="20"/>
          <w:u w:val="none"/>
        </w:rPr>
        <w:t>。</w:t>
      </w:r>
      <w:r>
        <w:rPr>
          <w:rFonts w:eastAsia="方正楷体_GBK"/>
          <w:kern w:val="2"/>
          <w:szCs w:val="20"/>
          <w:u w:val="none"/>
        </w:rPr>
        <w:t>（1）</w:t>
      </w:r>
      <w:r>
        <w:rPr>
          <w:kern w:val="2"/>
          <w:szCs w:val="20"/>
          <w:u w:val="none"/>
        </w:rPr>
        <w:t>开展商贸物流高质量发展专项行动，实施城乡配送网络工程。建设城乡智能高效配送项目，推广城乡高效配送典型经验和创新模式。</w:t>
      </w:r>
      <w:r>
        <w:rPr>
          <w:rFonts w:eastAsia="方正楷体_GBK"/>
          <w:kern w:val="2"/>
          <w:szCs w:val="20"/>
          <w:u w:val="none"/>
        </w:rPr>
        <w:t>（2）</w:t>
      </w:r>
      <w:r>
        <w:rPr>
          <w:kern w:val="2"/>
          <w:szCs w:val="20"/>
          <w:u w:val="none"/>
        </w:rPr>
        <w:t>大力发展第三方物流，支持数字化第三方物流交付平台建设，推动第三方物流产业科技和商业模式创新。</w:t>
      </w:r>
      <w:r>
        <w:rPr>
          <w:rFonts w:eastAsia="方正楷体_GBK"/>
          <w:kern w:val="2"/>
          <w:szCs w:val="20"/>
          <w:u w:val="none"/>
        </w:rPr>
        <w:t>（3）</w:t>
      </w:r>
      <w:r>
        <w:rPr>
          <w:kern w:val="2"/>
          <w:szCs w:val="20"/>
          <w:u w:val="none"/>
        </w:rPr>
        <w:t>加强电商园区建设，扶持高成长性、区域总部型电商企业发展，培育垂直电商平台。</w:t>
      </w:r>
      <w:r>
        <w:rPr>
          <w:rFonts w:eastAsia="方正楷体_GBK"/>
          <w:kern w:val="2"/>
          <w:szCs w:val="20"/>
          <w:u w:val="none"/>
        </w:rPr>
        <w:t>（4）</w:t>
      </w:r>
      <w:r>
        <w:rPr>
          <w:kern w:val="2"/>
          <w:szCs w:val="20"/>
          <w:u w:val="none"/>
        </w:rPr>
        <w:t>推进</w:t>
      </w:r>
      <w:r>
        <w:rPr>
          <w:rFonts w:hint="eastAsia"/>
          <w:kern w:val="2"/>
          <w:szCs w:val="20"/>
          <w:u w:val="none"/>
        </w:rPr>
        <w:t>“</w:t>
      </w:r>
      <w:r>
        <w:rPr>
          <w:kern w:val="2"/>
          <w:szCs w:val="20"/>
          <w:u w:val="none"/>
        </w:rPr>
        <w:t>数商兴农</w:t>
      </w:r>
      <w:r>
        <w:rPr>
          <w:rFonts w:hint="eastAsia"/>
          <w:kern w:val="2"/>
          <w:szCs w:val="20"/>
          <w:u w:val="none"/>
        </w:rPr>
        <w:t>”</w:t>
      </w:r>
      <w:r>
        <w:rPr>
          <w:kern w:val="2"/>
          <w:szCs w:val="20"/>
          <w:u w:val="none"/>
        </w:rPr>
        <w:t>行动，升级电子商务进农村综合示范。</w:t>
      </w:r>
      <w:r>
        <w:rPr>
          <w:rFonts w:eastAsia="方正楷体_GBK"/>
          <w:kern w:val="2"/>
          <w:szCs w:val="20"/>
          <w:u w:val="none"/>
        </w:rPr>
        <w:t>（5）</w:t>
      </w:r>
      <w:r>
        <w:rPr>
          <w:kern w:val="2"/>
          <w:szCs w:val="20"/>
          <w:u w:val="none"/>
        </w:rPr>
        <w:t>推广应用标准托盘、标准周转箱（筐）等物流载具，促进物流标准广泛应用。</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kern w:val="2"/>
          <w:szCs w:val="20"/>
          <w:u w:val="none"/>
        </w:rPr>
        <w:t>（1）2022年底前完成，（2）（3）（4）（5）项持续推进。</w:t>
      </w:r>
    </w:p>
    <w:p>
      <w:pPr>
        <w:adjustRightInd/>
        <w:spacing w:after="0" w:line="240" w:lineRule="auto"/>
        <w:ind w:firstLine="632" w:firstLineChars="200"/>
        <w:textAlignment w:val="auto"/>
        <w:rPr>
          <w:kern w:val="2"/>
          <w:szCs w:val="20"/>
          <w:u w:val="none"/>
        </w:rPr>
      </w:pPr>
      <w:r>
        <w:rPr>
          <w:rFonts w:eastAsia="方正楷体_GBK"/>
          <w:kern w:val="2"/>
          <w:szCs w:val="20"/>
          <w:u w:val="none"/>
        </w:rPr>
        <w:t>责任单位：</w:t>
      </w:r>
      <w:r>
        <w:rPr>
          <w:kern w:val="2"/>
          <w:szCs w:val="20"/>
          <w:u w:val="none"/>
        </w:rPr>
        <w:t>市商务委、市政府口岸物流办</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（九）深度融入产业链供应链。（1）</w:t>
      </w:r>
      <w:r>
        <w:rPr>
          <w:kern w:val="2"/>
          <w:szCs w:val="20"/>
          <w:u w:val="none"/>
        </w:rPr>
        <w:t>充分利用重庆汽车、笔电等先进制造业产业基础，发挥粤港澳大湾区的汽车软件、先进汽车电子、电子元器件、集成电路等产业与重庆互补优势，借助粤港澳大湾区进出口便利条件，与粤港澳大湾区开展制造业供应链合作。</w:t>
      </w:r>
      <w:r>
        <w:rPr>
          <w:rFonts w:eastAsia="方正楷体_GBK"/>
          <w:kern w:val="2"/>
          <w:szCs w:val="20"/>
          <w:u w:val="none"/>
        </w:rPr>
        <w:t>（2）</w:t>
      </w:r>
      <w:r>
        <w:rPr>
          <w:kern w:val="2"/>
          <w:szCs w:val="20"/>
          <w:u w:val="none"/>
        </w:rPr>
        <w:t>有机衔接长江上游产业链，推动航运平台企业深度对接生产制造企业、分销商和船运公司等，无缝嵌入生产制造供应链，加快三峡库区供应链、大宗物流需求归并整合，形成具有产业运行配套服务功能和能力的库区产业物流服务系统。</w:t>
      </w:r>
    </w:p>
    <w:p>
      <w:pPr>
        <w:widowControl w:val="0"/>
        <w:adjustRightInd/>
        <w:spacing w:after="0" w:line="240" w:lineRule="auto"/>
        <w:ind w:firstLine="616" w:firstLineChars="200"/>
        <w:jc w:val="left"/>
        <w:textAlignment w:val="auto"/>
        <w:rPr>
          <w:kern w:val="2"/>
          <w:szCs w:val="20"/>
          <w:u w:val="none"/>
        </w:rPr>
      </w:pPr>
      <w:r>
        <w:rPr>
          <w:rFonts w:eastAsia="方正楷体_GBK"/>
          <w:spacing w:val="-4"/>
          <w:u w:val="none"/>
        </w:rPr>
        <w:t>进度安排：</w:t>
      </w:r>
      <w:r>
        <w:rPr>
          <w:kern w:val="2"/>
          <w:szCs w:val="20"/>
          <w:u w:val="none"/>
        </w:rPr>
        <w:t>持续推进</w:t>
      </w:r>
    </w:p>
    <w:p>
      <w:pPr>
        <w:adjustRightInd/>
        <w:spacing w:after="0" w:line="240" w:lineRule="auto"/>
        <w:ind w:firstLine="632" w:firstLineChars="200"/>
        <w:textAlignment w:val="auto"/>
        <w:rPr>
          <w:kern w:val="2"/>
          <w:szCs w:val="20"/>
          <w:u w:val="none"/>
        </w:rPr>
      </w:pPr>
      <w:r>
        <w:rPr>
          <w:rFonts w:eastAsia="方正楷体_GBK"/>
          <w:kern w:val="2"/>
          <w:szCs w:val="20"/>
          <w:u w:val="none"/>
        </w:rPr>
        <w:t>责任单位：</w:t>
      </w:r>
      <w:r>
        <w:rPr>
          <w:kern w:val="2"/>
          <w:szCs w:val="20"/>
          <w:u w:val="none"/>
        </w:rPr>
        <w:t>市经济信息委、市政府口岸物流办</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（十）打造供应链服务平台。（1）</w:t>
      </w:r>
      <w:r>
        <w:rPr>
          <w:kern w:val="2"/>
          <w:szCs w:val="20"/>
          <w:u w:val="none"/>
        </w:rPr>
        <w:t>建设区域大宗商品物流组织中心，开展面向临港产业的保税物流、交易结算、期货交割、分拨配送组织等服务。</w:t>
      </w:r>
      <w:r>
        <w:rPr>
          <w:rFonts w:eastAsia="方正楷体_GBK"/>
          <w:kern w:val="2"/>
          <w:szCs w:val="20"/>
          <w:u w:val="none"/>
        </w:rPr>
        <w:t>（2）</w:t>
      </w:r>
      <w:r>
        <w:rPr>
          <w:kern w:val="2"/>
          <w:szCs w:val="20"/>
          <w:u w:val="none"/>
        </w:rPr>
        <w:t>依托万州新田港物流园、涪陵龙头港物流园和长寿沿江现代物流园区，以培育大宗商品、循环资源和临港产业为突破口，提供从原材料供应到产品分销的供应链服务，打造服务西南腹地的供应链服务平台。</w:t>
      </w:r>
    </w:p>
    <w:p>
      <w:pPr>
        <w:widowControl w:val="0"/>
        <w:adjustRightInd/>
        <w:spacing w:after="0" w:line="240" w:lineRule="auto"/>
        <w:ind w:firstLine="616" w:firstLineChars="200"/>
        <w:jc w:val="left"/>
        <w:textAlignment w:val="auto"/>
        <w:rPr>
          <w:kern w:val="2"/>
          <w:szCs w:val="20"/>
          <w:u w:val="none"/>
        </w:rPr>
      </w:pPr>
      <w:r>
        <w:rPr>
          <w:rFonts w:eastAsia="方正楷体_GBK"/>
          <w:spacing w:val="-4"/>
          <w:u w:val="none"/>
        </w:rPr>
        <w:t>进度安排：</w:t>
      </w:r>
      <w:r>
        <w:rPr>
          <w:kern w:val="2"/>
          <w:szCs w:val="20"/>
          <w:u w:val="none"/>
        </w:rPr>
        <w:t>持续推进</w:t>
      </w:r>
    </w:p>
    <w:p>
      <w:pPr>
        <w:adjustRightInd/>
        <w:spacing w:after="0" w:line="240" w:lineRule="auto"/>
        <w:ind w:firstLine="632" w:firstLineChars="200"/>
        <w:textAlignment w:val="auto"/>
        <w:rPr>
          <w:kern w:val="2"/>
          <w:szCs w:val="20"/>
          <w:u w:val="none"/>
        </w:rPr>
      </w:pPr>
      <w:r>
        <w:rPr>
          <w:rFonts w:eastAsia="方正楷体_GBK"/>
          <w:kern w:val="2"/>
          <w:szCs w:val="20"/>
          <w:u w:val="none"/>
        </w:rPr>
        <w:t>责任单位：</w:t>
      </w:r>
      <w:r>
        <w:rPr>
          <w:kern w:val="2"/>
          <w:szCs w:val="20"/>
          <w:u w:val="none"/>
        </w:rPr>
        <w:t>市政府口岸物流办</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（十一）开展商品市场优化升级专项行动。（1）</w:t>
      </w:r>
      <w:r>
        <w:rPr>
          <w:kern w:val="2"/>
          <w:szCs w:val="20"/>
          <w:u w:val="none"/>
        </w:rPr>
        <w:t>推动传统商品交易市场拓展线上业务，加快交易场景数字化重构，打造综合性商品交易平台。</w:t>
      </w:r>
      <w:r>
        <w:rPr>
          <w:rFonts w:eastAsia="方正楷体_GBK"/>
          <w:kern w:val="2"/>
          <w:szCs w:val="20"/>
          <w:u w:val="none"/>
        </w:rPr>
        <w:t>（2）</w:t>
      </w:r>
      <w:r>
        <w:rPr>
          <w:kern w:val="2"/>
          <w:szCs w:val="20"/>
          <w:u w:val="none"/>
        </w:rPr>
        <w:t>引导各区县围绕优势产业和主导产品，差异化建设内外贸相结合的专业市场。推动实施多元化经营管理，建设具有全国影响力的中药材交易市场。</w:t>
      </w:r>
      <w:r>
        <w:rPr>
          <w:rFonts w:eastAsia="方正楷体_GBK"/>
          <w:kern w:val="2"/>
          <w:szCs w:val="20"/>
          <w:u w:val="none"/>
        </w:rPr>
        <w:t>（3）</w:t>
      </w:r>
      <w:r>
        <w:rPr>
          <w:kern w:val="2"/>
          <w:szCs w:val="20"/>
          <w:u w:val="none"/>
        </w:rPr>
        <w:t>探索建立以产品研发、批文转让、设备定制、物料供需、代工代销、人才交流等利于促进药品资源要素畅通流通的共享交换平台。</w:t>
      </w:r>
      <w:r>
        <w:rPr>
          <w:rFonts w:eastAsia="方正楷体_GBK"/>
          <w:kern w:val="2"/>
          <w:szCs w:val="20"/>
          <w:u w:val="none"/>
        </w:rPr>
        <w:t>（4）</w:t>
      </w:r>
      <w:r>
        <w:rPr>
          <w:kern w:val="2"/>
          <w:szCs w:val="20"/>
          <w:u w:val="none"/>
        </w:rPr>
        <w:t>制定《重庆市内外贸一体化试点工作方案》，完善内外贸一体化调控体系，促进内外贸法律法规、监管体制、经营资质、质量标准、检验检疫、认证认可衔接等方面积极创新、先行先试，推进内外贸产品同线同标同质。</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kern w:val="2"/>
          <w:szCs w:val="20"/>
          <w:u w:val="none"/>
        </w:rPr>
        <w:t>持续推进</w:t>
      </w:r>
    </w:p>
    <w:p>
      <w:pPr>
        <w:adjustRightInd/>
        <w:spacing w:after="0" w:line="240" w:lineRule="auto"/>
        <w:ind w:firstLine="632" w:firstLineChars="200"/>
        <w:textAlignment w:val="auto"/>
        <w:rPr>
          <w:kern w:val="2"/>
          <w:szCs w:val="20"/>
          <w:u w:val="none"/>
        </w:rPr>
      </w:pPr>
      <w:r>
        <w:rPr>
          <w:rFonts w:eastAsia="方正楷体_GBK"/>
          <w:kern w:val="2"/>
          <w:szCs w:val="20"/>
          <w:u w:val="none"/>
        </w:rPr>
        <w:t>责任单位：</w:t>
      </w:r>
      <w:r>
        <w:rPr>
          <w:kern w:val="2"/>
          <w:szCs w:val="20"/>
          <w:u w:val="none"/>
        </w:rPr>
        <w:t>市商务委、市市场监管局、市药监局，市级有关部门，各区县</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（十二）健全应急物流和风险防范体系。（1）</w:t>
      </w:r>
      <w:r>
        <w:rPr>
          <w:kern w:val="2"/>
          <w:szCs w:val="20"/>
          <w:u w:val="none"/>
        </w:rPr>
        <w:t>按照应急峰值、快速响应要求，加强应急物流体系建设，提升交通运输设施、物流站点等设防和承受灾能力。</w:t>
      </w:r>
      <w:r>
        <w:rPr>
          <w:rFonts w:eastAsia="方正楷体_GBK"/>
          <w:kern w:val="2"/>
          <w:szCs w:val="20"/>
          <w:u w:val="none"/>
        </w:rPr>
        <w:t>（2）</w:t>
      </w:r>
      <w:r>
        <w:rPr>
          <w:kern w:val="2"/>
          <w:szCs w:val="20"/>
          <w:u w:val="none"/>
        </w:rPr>
        <w:t>全面取消对来自疫情低风险地区货运车辆的防疫通行限制，对来自或进出疫情中高风险地区所在地市的货运车辆，落实</w:t>
      </w:r>
      <w:r>
        <w:rPr>
          <w:rFonts w:hint="eastAsia"/>
          <w:kern w:val="2"/>
          <w:szCs w:val="20"/>
          <w:u w:val="none"/>
        </w:rPr>
        <w:t>“</w:t>
      </w:r>
      <w:r>
        <w:rPr>
          <w:kern w:val="2"/>
          <w:szCs w:val="20"/>
          <w:u w:val="none"/>
        </w:rPr>
        <w:t>即采即走即追</w:t>
      </w:r>
      <w:r>
        <w:rPr>
          <w:rFonts w:hint="eastAsia"/>
          <w:kern w:val="2"/>
          <w:szCs w:val="20"/>
          <w:u w:val="none"/>
        </w:rPr>
        <w:t>”</w:t>
      </w:r>
      <w:r>
        <w:rPr>
          <w:kern w:val="2"/>
          <w:szCs w:val="20"/>
          <w:u w:val="none"/>
        </w:rPr>
        <w:t>制度。</w:t>
      </w:r>
      <w:r>
        <w:rPr>
          <w:rFonts w:eastAsia="方正楷体_GBK"/>
          <w:kern w:val="2"/>
          <w:szCs w:val="20"/>
          <w:u w:val="none"/>
        </w:rPr>
        <w:t>（3）</w:t>
      </w:r>
      <w:r>
        <w:rPr>
          <w:kern w:val="2"/>
          <w:szCs w:val="20"/>
          <w:u w:val="none"/>
        </w:rPr>
        <w:t>积极防范粮食、能源等重要产品供应短缺风险，优化生活必需品预警监测系统，建立粮食应急保供机制，增加区县级成品粮油储备计划；扩大市外能源调入规模，加快推动抽水蓄能、地下储气库、储煤基地建设，推进政府储备项目建设，已建成项目尽快具备储备能力，进一步提高能源安全储备能力。</w:t>
      </w:r>
    </w:p>
    <w:p>
      <w:pPr>
        <w:widowControl w:val="0"/>
        <w:adjustRightInd/>
        <w:spacing w:after="0" w:line="240" w:lineRule="auto"/>
        <w:ind w:firstLine="616" w:firstLineChars="200"/>
        <w:jc w:val="left"/>
        <w:textAlignment w:val="auto"/>
        <w:rPr>
          <w:kern w:val="2"/>
          <w:szCs w:val="20"/>
          <w:u w:val="none"/>
        </w:rPr>
      </w:pPr>
      <w:r>
        <w:rPr>
          <w:rFonts w:eastAsia="方正楷体_GBK"/>
          <w:spacing w:val="-4"/>
          <w:u w:val="none"/>
        </w:rPr>
        <w:t>进度安排：</w:t>
      </w:r>
      <w:r>
        <w:rPr>
          <w:kern w:val="2"/>
          <w:szCs w:val="20"/>
          <w:u w:val="none"/>
        </w:rPr>
        <w:t>持续推进</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责任单位：</w:t>
      </w:r>
      <w:r>
        <w:rPr>
          <w:kern w:val="2"/>
          <w:szCs w:val="20"/>
          <w:u w:val="none"/>
        </w:rPr>
        <w:t>市交通局、市政府口岸物流办、市商务委、市公安局、市发展改革委、市能源局，各区县</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（十三）推动产权市场信息联通</w:t>
      </w:r>
      <w:r>
        <w:rPr>
          <w:kern w:val="2"/>
          <w:szCs w:val="20"/>
          <w:u w:val="none"/>
        </w:rPr>
        <w:t>。</w:t>
      </w:r>
      <w:r>
        <w:rPr>
          <w:rFonts w:eastAsia="方正楷体_GBK"/>
          <w:kern w:val="2"/>
          <w:szCs w:val="20"/>
          <w:u w:val="none"/>
        </w:rPr>
        <w:t>（1）</w:t>
      </w:r>
      <w:r>
        <w:rPr>
          <w:kern w:val="2"/>
          <w:szCs w:val="20"/>
          <w:u w:val="none"/>
        </w:rPr>
        <w:t>落实产权交易信息统一发布机制，推动</w:t>
      </w:r>
      <w:r>
        <w:rPr>
          <w:rFonts w:hint="eastAsia"/>
          <w:kern w:val="2"/>
          <w:szCs w:val="20"/>
          <w:u w:val="none"/>
        </w:rPr>
        <w:t>“</w:t>
      </w:r>
      <w:r>
        <w:rPr>
          <w:kern w:val="2"/>
          <w:szCs w:val="20"/>
          <w:u w:val="none"/>
        </w:rPr>
        <w:t>重庆产权交易网</w:t>
      </w:r>
      <w:r>
        <w:rPr>
          <w:rFonts w:hint="eastAsia"/>
          <w:kern w:val="2"/>
          <w:szCs w:val="20"/>
          <w:u w:val="none"/>
        </w:rPr>
        <w:t>”</w:t>
      </w:r>
      <w:r>
        <w:rPr>
          <w:kern w:val="2"/>
          <w:szCs w:val="20"/>
          <w:u w:val="none"/>
        </w:rPr>
        <w:t>与全国产权交易市场联通、</w:t>
      </w:r>
      <w:r>
        <w:rPr>
          <w:rFonts w:hint="eastAsia"/>
          <w:kern w:val="2"/>
          <w:szCs w:val="20"/>
          <w:u w:val="none"/>
        </w:rPr>
        <w:t>“</w:t>
      </w:r>
      <w:r>
        <w:rPr>
          <w:kern w:val="2"/>
          <w:szCs w:val="20"/>
          <w:u w:val="none"/>
        </w:rPr>
        <w:t>重庆市公共资源交易网</w:t>
      </w:r>
      <w:r>
        <w:rPr>
          <w:rFonts w:hint="eastAsia"/>
          <w:kern w:val="2"/>
          <w:szCs w:val="20"/>
          <w:u w:val="none"/>
        </w:rPr>
        <w:t>”</w:t>
      </w:r>
      <w:r>
        <w:rPr>
          <w:kern w:val="2"/>
          <w:szCs w:val="20"/>
          <w:u w:val="none"/>
        </w:rPr>
        <w:t>与全国公共资源交易平台、全国招标投标</w:t>
      </w:r>
      <w:r>
        <w:rPr>
          <w:spacing w:val="-4"/>
          <w:kern w:val="2"/>
          <w:szCs w:val="20"/>
          <w:u w:val="none"/>
        </w:rPr>
        <w:t>信息平台的信息互通共享。</w:t>
      </w:r>
      <w:r>
        <w:rPr>
          <w:rFonts w:eastAsia="方正楷体_GBK"/>
          <w:kern w:val="2"/>
          <w:szCs w:val="20"/>
          <w:u w:val="none"/>
        </w:rPr>
        <w:t>（2）</w:t>
      </w:r>
      <w:r>
        <w:rPr>
          <w:spacing w:val="-4"/>
          <w:kern w:val="2"/>
          <w:szCs w:val="20"/>
          <w:u w:val="none"/>
        </w:rPr>
        <w:t>优化公共资源交易重要信息发布功能，</w:t>
      </w:r>
      <w:r>
        <w:rPr>
          <w:kern w:val="2"/>
          <w:szCs w:val="20"/>
          <w:u w:val="none"/>
        </w:rPr>
        <w:t>做到交易信息应公开尽公开。</w:t>
      </w:r>
    </w:p>
    <w:p>
      <w:pPr>
        <w:widowControl w:val="0"/>
        <w:adjustRightInd/>
        <w:spacing w:after="0" w:line="240" w:lineRule="auto"/>
        <w:ind w:firstLine="616" w:firstLineChars="200"/>
        <w:jc w:val="left"/>
        <w:textAlignment w:val="auto"/>
        <w:rPr>
          <w:spacing w:val="-4"/>
          <w:kern w:val="2"/>
          <w:szCs w:val="20"/>
          <w:u w:val="none"/>
        </w:rPr>
      </w:pPr>
      <w:r>
        <w:rPr>
          <w:rFonts w:eastAsia="方正楷体_GBK"/>
          <w:spacing w:val="-4"/>
          <w:u w:val="none"/>
        </w:rPr>
        <w:t>进度安排：</w:t>
      </w:r>
      <w:r>
        <w:rPr>
          <w:spacing w:val="-4"/>
          <w:kern w:val="2"/>
          <w:szCs w:val="20"/>
          <w:u w:val="none"/>
        </w:rPr>
        <w:t>（1）项2022年底前完成，（2）项持续推进。</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责任单位：</w:t>
      </w:r>
      <w:r>
        <w:rPr>
          <w:spacing w:val="-4"/>
          <w:kern w:val="2"/>
          <w:szCs w:val="20"/>
          <w:u w:val="none"/>
        </w:rPr>
        <w:t>市国资委，重庆联交所</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（十四）完善公共资源交易体系。</w:t>
      </w:r>
      <w:r>
        <w:rPr>
          <w:spacing w:val="-4"/>
          <w:kern w:val="2"/>
          <w:szCs w:val="20"/>
          <w:u w:val="none"/>
        </w:rPr>
        <w:t>（1）</w:t>
      </w:r>
      <w:r>
        <w:rPr>
          <w:kern w:val="2"/>
          <w:szCs w:val="20"/>
          <w:u w:val="none"/>
        </w:rPr>
        <w:t>落实和完善</w:t>
      </w:r>
      <w:r>
        <w:rPr>
          <w:rFonts w:hint="eastAsia"/>
          <w:kern w:val="2"/>
          <w:szCs w:val="20"/>
          <w:u w:val="none"/>
        </w:rPr>
        <w:t>“</w:t>
      </w:r>
      <w:r>
        <w:rPr>
          <w:kern w:val="2"/>
          <w:szCs w:val="20"/>
          <w:u w:val="none"/>
        </w:rPr>
        <w:t>管办分离</w:t>
      </w:r>
      <w:r>
        <w:rPr>
          <w:rFonts w:hint="eastAsia"/>
          <w:kern w:val="2"/>
          <w:szCs w:val="20"/>
          <w:u w:val="none"/>
        </w:rPr>
        <w:t>”</w:t>
      </w:r>
      <w:r>
        <w:rPr>
          <w:kern w:val="2"/>
          <w:szCs w:val="20"/>
          <w:u w:val="none"/>
        </w:rPr>
        <w:t>制度，深化公共资源交易平台整合共享，推动中心城区公共资源交易平台一体化改革，推进主城新区、渝东北、渝东南公共资源交易平台整合共享。</w:t>
      </w:r>
      <w:r>
        <w:rPr>
          <w:spacing w:val="-4"/>
          <w:kern w:val="2"/>
          <w:szCs w:val="20"/>
          <w:u w:val="none"/>
        </w:rPr>
        <w:t>（2）</w:t>
      </w:r>
      <w:r>
        <w:rPr>
          <w:kern w:val="2"/>
          <w:szCs w:val="20"/>
          <w:u w:val="none"/>
        </w:rPr>
        <w:t>优化公共资源交易全流程电子化交易系统。</w:t>
      </w:r>
      <w:r>
        <w:rPr>
          <w:rFonts w:eastAsia="方正楷体_GBK"/>
          <w:kern w:val="2"/>
          <w:szCs w:val="20"/>
          <w:u w:val="none"/>
        </w:rPr>
        <w:t>（</w:t>
      </w:r>
      <w:r>
        <w:rPr>
          <w:rFonts w:hint="eastAsia" w:eastAsia="方正楷体_GBK"/>
          <w:kern w:val="2"/>
          <w:szCs w:val="20"/>
          <w:u w:val="none"/>
        </w:rPr>
        <w:t>3</w:t>
      </w:r>
      <w:r>
        <w:rPr>
          <w:rFonts w:eastAsia="方正楷体_GBK"/>
          <w:kern w:val="2"/>
          <w:szCs w:val="20"/>
          <w:u w:val="none"/>
        </w:rPr>
        <w:t>）</w:t>
      </w:r>
      <w:r>
        <w:rPr>
          <w:kern w:val="2"/>
          <w:szCs w:val="20"/>
          <w:u w:val="none"/>
        </w:rPr>
        <w:t>按照应进必进原则，修订《重庆市公共资源交易目录》，将适合市场化方式配置的各类公共资源纳入公共资源交易平台覆盖范围。</w:t>
      </w:r>
    </w:p>
    <w:p>
      <w:pPr>
        <w:widowControl w:val="0"/>
        <w:adjustRightInd/>
        <w:spacing w:after="0" w:line="240" w:lineRule="auto"/>
        <w:ind w:firstLine="616" w:firstLineChars="200"/>
        <w:jc w:val="left"/>
        <w:textAlignment w:val="auto"/>
        <w:rPr>
          <w:kern w:val="2"/>
          <w:szCs w:val="20"/>
          <w:u w:val="none"/>
        </w:rPr>
      </w:pPr>
      <w:r>
        <w:rPr>
          <w:rFonts w:eastAsia="方正楷体_GBK"/>
          <w:spacing w:val="-4"/>
          <w:u w:val="none"/>
        </w:rPr>
        <w:t>进度安排：</w:t>
      </w:r>
      <w:r>
        <w:rPr>
          <w:kern w:val="2"/>
          <w:szCs w:val="20"/>
          <w:u w:val="none"/>
        </w:rPr>
        <w:t>持续推进</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责任单位：</w:t>
      </w:r>
      <w:r>
        <w:rPr>
          <w:spacing w:val="-4"/>
          <w:kern w:val="2"/>
          <w:szCs w:val="20"/>
          <w:u w:val="none"/>
        </w:rPr>
        <w:t>市公共资源交易监管局、市公共资源交易中心，各区县</w:t>
      </w:r>
    </w:p>
    <w:p>
      <w:pPr>
        <w:adjustRightInd/>
        <w:spacing w:after="0" w:line="240" w:lineRule="auto"/>
        <w:ind w:firstLine="632" w:firstLineChars="200"/>
        <w:textAlignment w:val="auto"/>
        <w:rPr>
          <w:rFonts w:eastAsia="方正黑体_GBK"/>
          <w:kern w:val="2"/>
          <w:szCs w:val="20"/>
          <w:u w:val="none"/>
        </w:rPr>
      </w:pPr>
      <w:r>
        <w:rPr>
          <w:rFonts w:eastAsia="方正黑体_GBK"/>
          <w:kern w:val="2"/>
          <w:szCs w:val="20"/>
          <w:u w:val="none"/>
        </w:rPr>
        <w:t>三、促进要素和资源市场统一对接</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（十五）健全城乡统一的土地市场</w:t>
      </w:r>
      <w:r>
        <w:rPr>
          <w:kern w:val="2"/>
          <w:szCs w:val="20"/>
          <w:u w:val="none"/>
        </w:rPr>
        <w:t>。</w:t>
      </w:r>
      <w:r>
        <w:rPr>
          <w:rFonts w:eastAsia="方正楷体_GBK"/>
          <w:kern w:val="2"/>
          <w:szCs w:val="20"/>
          <w:u w:val="none"/>
        </w:rPr>
        <w:t>（1）</w:t>
      </w:r>
      <w:r>
        <w:rPr>
          <w:kern w:val="2"/>
          <w:szCs w:val="20"/>
          <w:u w:val="none"/>
        </w:rPr>
        <w:t>按照中央顶层设计，统一规划、统一管理，统筹增量建设用地与存量建设用地，健全农村集体经营性建设用地入市交易规则，完善统一的建设用地使用权转让、出租、抵押二级市场。</w:t>
      </w:r>
      <w:r>
        <w:rPr>
          <w:rFonts w:eastAsia="方正楷体_GBK"/>
          <w:kern w:val="2"/>
          <w:szCs w:val="20"/>
          <w:u w:val="none"/>
        </w:rPr>
        <w:t>（2）</w:t>
      </w:r>
      <w:r>
        <w:rPr>
          <w:kern w:val="2"/>
          <w:szCs w:val="20"/>
          <w:u w:val="none"/>
        </w:rPr>
        <w:t>按照国家城乡建设用地增减挂钩节余指标、补充耕地指标跨区域交易机制，依托重庆农村土地交易所积极争取先行先试，有序推进鲁渝跨省交易。</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kern w:val="2"/>
          <w:szCs w:val="20"/>
          <w:u w:val="none"/>
        </w:rPr>
        <w:t>持续推进</w:t>
      </w:r>
      <w:r>
        <w:rPr>
          <w:rFonts w:hint="eastAsia"/>
          <w:kern w:val="2"/>
          <w:szCs w:val="20"/>
          <w:u w:val="none"/>
        </w:rPr>
        <w:t>，</w:t>
      </w:r>
      <w:r>
        <w:rPr>
          <w:kern w:val="2"/>
          <w:szCs w:val="20"/>
          <w:u w:val="none"/>
        </w:rPr>
        <w:t>（1）项中</w:t>
      </w:r>
      <w:r>
        <w:rPr>
          <w:rFonts w:hint="eastAsia"/>
          <w:kern w:val="2"/>
          <w:szCs w:val="20"/>
          <w:u w:val="none"/>
        </w:rPr>
        <w:t>“</w:t>
      </w:r>
      <w:r>
        <w:rPr>
          <w:kern w:val="2"/>
          <w:szCs w:val="20"/>
          <w:u w:val="none"/>
        </w:rPr>
        <w:t>健全农村集体经营性建设用地入市交易规则</w:t>
      </w:r>
      <w:r>
        <w:rPr>
          <w:rFonts w:hint="eastAsia"/>
          <w:kern w:val="2"/>
          <w:szCs w:val="20"/>
          <w:u w:val="none"/>
        </w:rPr>
        <w:t>”</w:t>
      </w:r>
      <w:r>
        <w:rPr>
          <w:kern w:val="2"/>
          <w:szCs w:val="20"/>
          <w:u w:val="none"/>
        </w:rPr>
        <w:t>按照国家统一部署推进。</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责任单位：</w:t>
      </w:r>
      <w:r>
        <w:rPr>
          <w:kern w:val="2"/>
          <w:szCs w:val="20"/>
          <w:u w:val="none"/>
        </w:rPr>
        <w:t>市规划自然资源局，重庆土交所</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（十六）健</w:t>
      </w:r>
      <w:r>
        <w:rPr>
          <w:rFonts w:eastAsia="方正楷体_GBK"/>
          <w:spacing w:val="-4"/>
          <w:kern w:val="2"/>
          <w:szCs w:val="20"/>
          <w:u w:val="none"/>
        </w:rPr>
        <w:t>全人力资源市场体系。</w:t>
      </w:r>
      <w:r>
        <w:rPr>
          <w:rFonts w:eastAsia="方正楷体_GBK"/>
          <w:kern w:val="2"/>
          <w:szCs w:val="20"/>
          <w:u w:val="none"/>
        </w:rPr>
        <w:t>（1）</w:t>
      </w:r>
      <w:r>
        <w:rPr>
          <w:spacing w:val="-4"/>
          <w:kern w:val="2"/>
          <w:szCs w:val="20"/>
          <w:u w:val="none"/>
        </w:rPr>
        <w:t>落实全国通用性资格清单，</w:t>
      </w:r>
      <w:r>
        <w:rPr>
          <w:kern w:val="2"/>
          <w:szCs w:val="20"/>
          <w:u w:val="none"/>
        </w:rPr>
        <w:t>推动资格互通互认互用。</w:t>
      </w:r>
      <w:r>
        <w:rPr>
          <w:rFonts w:eastAsia="方正楷体_GBK"/>
          <w:kern w:val="2"/>
          <w:szCs w:val="20"/>
          <w:u w:val="none"/>
        </w:rPr>
        <w:t>（2）</w:t>
      </w:r>
      <w:r>
        <w:rPr>
          <w:kern w:val="2"/>
          <w:szCs w:val="20"/>
          <w:u w:val="none"/>
        </w:rPr>
        <w:t>健全与人口流入流出相适应的财政转移支付、公共服务财政投入、城镇建设用地指标等调节机制，推进公共资源按照常住人口规模配置。</w:t>
      </w:r>
      <w:r>
        <w:rPr>
          <w:rFonts w:eastAsia="方正楷体_GBK"/>
          <w:kern w:val="2"/>
          <w:szCs w:val="20"/>
          <w:u w:val="none"/>
        </w:rPr>
        <w:t>（3）</w:t>
      </w:r>
      <w:r>
        <w:rPr>
          <w:kern w:val="2"/>
          <w:szCs w:val="20"/>
          <w:u w:val="none"/>
        </w:rPr>
        <w:t>建立完善以业绩为导向的柔性引才机制，高标准推进国家级人力资源服务产业园和国家级专业化人力资源市场建设，衔接推进全国专技人才、技能人才等信息共享机制，畅通劳动力和人才社会性流动渠道。</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kern w:val="2"/>
          <w:szCs w:val="20"/>
          <w:u w:val="none"/>
        </w:rPr>
        <w:t>持续推进</w:t>
      </w:r>
    </w:p>
    <w:p>
      <w:pPr>
        <w:adjustRightInd/>
        <w:spacing w:after="0" w:line="240" w:lineRule="auto"/>
        <w:ind w:firstLine="632" w:firstLineChars="200"/>
        <w:textAlignment w:val="auto"/>
        <w:rPr>
          <w:kern w:val="2"/>
          <w:szCs w:val="20"/>
          <w:u w:val="none"/>
        </w:rPr>
      </w:pPr>
      <w:r>
        <w:rPr>
          <w:rFonts w:eastAsia="方正楷体_GBK"/>
          <w:kern w:val="2"/>
          <w:szCs w:val="20"/>
          <w:u w:val="none"/>
        </w:rPr>
        <w:t>责任单位：</w:t>
      </w:r>
      <w:r>
        <w:rPr>
          <w:kern w:val="2"/>
          <w:szCs w:val="20"/>
          <w:u w:val="none"/>
        </w:rPr>
        <w:t>市人力社保局、市财政局、市规划自然资源局</w:t>
      </w:r>
    </w:p>
    <w:p>
      <w:pPr>
        <w:adjustRightInd/>
        <w:spacing w:after="0" w:line="240" w:lineRule="auto"/>
        <w:ind w:firstLine="632" w:firstLineChars="200"/>
        <w:textAlignment w:val="auto"/>
        <w:rPr>
          <w:rFonts w:eastAsia="方正楷体_GBK"/>
          <w:spacing w:val="-4"/>
          <w:kern w:val="2"/>
          <w:szCs w:val="20"/>
          <w:u w:val="none"/>
        </w:rPr>
      </w:pPr>
      <w:r>
        <w:rPr>
          <w:rFonts w:eastAsia="方正楷体_GBK"/>
          <w:kern w:val="2"/>
          <w:szCs w:val="20"/>
          <w:u w:val="none"/>
        </w:rPr>
        <w:t>（十七）积极融入资本市场改革。（1）</w:t>
      </w:r>
      <w:r>
        <w:rPr>
          <w:kern w:val="2"/>
          <w:szCs w:val="20"/>
          <w:u w:val="none"/>
        </w:rPr>
        <w:t>推动重庆区域性股权市场同沪深北交易所和全国股转系统建立合作衔接机制，有序推进制度和业务创新试点。</w:t>
      </w:r>
      <w:r>
        <w:rPr>
          <w:rFonts w:eastAsia="方正楷体_GBK"/>
          <w:kern w:val="2"/>
          <w:szCs w:val="20"/>
          <w:u w:val="none"/>
        </w:rPr>
        <w:t>（2）</w:t>
      </w:r>
      <w:r>
        <w:rPr>
          <w:kern w:val="2"/>
          <w:szCs w:val="20"/>
          <w:u w:val="none"/>
        </w:rPr>
        <w:t>推进北交所和全国股转系统重庆基地落地，设立优选层培育优秀企业到交易所和新三板挂牌上市。出台《进</w:t>
      </w:r>
      <w:r>
        <w:rPr>
          <w:spacing w:val="-4"/>
          <w:kern w:val="2"/>
          <w:szCs w:val="20"/>
          <w:u w:val="none"/>
        </w:rPr>
        <w:t>一步加快企业上市工作实施方案》。</w:t>
      </w:r>
      <w:r>
        <w:rPr>
          <w:rFonts w:eastAsia="方正楷体_GBK"/>
          <w:kern w:val="2"/>
          <w:szCs w:val="20"/>
          <w:u w:val="none"/>
        </w:rPr>
        <w:t>（3）</w:t>
      </w:r>
      <w:r>
        <w:rPr>
          <w:spacing w:val="-4"/>
          <w:kern w:val="2"/>
          <w:szCs w:val="20"/>
          <w:u w:val="none"/>
        </w:rPr>
        <w:t>积极发展供应链金融，提供更多直达流通环节经营主体的金融产品。</w:t>
      </w:r>
      <w:r>
        <w:rPr>
          <w:rFonts w:eastAsia="方正楷体_GBK"/>
          <w:kern w:val="2"/>
          <w:szCs w:val="20"/>
          <w:u w:val="none"/>
        </w:rPr>
        <w:t>（4）</w:t>
      </w:r>
      <w:r>
        <w:rPr>
          <w:spacing w:val="-4"/>
          <w:kern w:val="2"/>
          <w:szCs w:val="20"/>
          <w:u w:val="none"/>
        </w:rPr>
        <w:t>落实资本</w:t>
      </w:r>
      <w:r>
        <w:rPr>
          <w:rFonts w:hint="eastAsia"/>
          <w:spacing w:val="-4"/>
          <w:kern w:val="2"/>
          <w:szCs w:val="20"/>
          <w:u w:val="none"/>
        </w:rPr>
        <w:t>“</w:t>
      </w:r>
      <w:r>
        <w:rPr>
          <w:spacing w:val="-4"/>
          <w:kern w:val="2"/>
          <w:szCs w:val="20"/>
          <w:u w:val="none"/>
        </w:rPr>
        <w:t>红绿灯</w:t>
      </w:r>
      <w:r>
        <w:rPr>
          <w:rFonts w:hint="eastAsia"/>
          <w:spacing w:val="-4"/>
          <w:kern w:val="2"/>
          <w:szCs w:val="20"/>
          <w:u w:val="none"/>
        </w:rPr>
        <w:t>”</w:t>
      </w:r>
      <w:r>
        <w:rPr>
          <w:spacing w:val="-4"/>
          <w:kern w:val="2"/>
          <w:szCs w:val="20"/>
          <w:u w:val="none"/>
        </w:rPr>
        <w:t>监管举措，加强</w:t>
      </w:r>
      <w:r>
        <w:rPr>
          <w:rFonts w:hint="eastAsia"/>
          <w:spacing w:val="-4"/>
          <w:kern w:val="2"/>
          <w:szCs w:val="20"/>
          <w:u w:val="none"/>
        </w:rPr>
        <w:t>“</w:t>
      </w:r>
      <w:r>
        <w:rPr>
          <w:spacing w:val="-4"/>
          <w:kern w:val="2"/>
          <w:szCs w:val="20"/>
          <w:u w:val="none"/>
        </w:rPr>
        <w:t>债券违约</w:t>
      </w:r>
      <w:r>
        <w:rPr>
          <w:rFonts w:hint="eastAsia"/>
          <w:spacing w:val="-4"/>
          <w:kern w:val="2"/>
          <w:szCs w:val="20"/>
          <w:u w:val="none"/>
        </w:rPr>
        <w:t>”“</w:t>
      </w:r>
      <w:r>
        <w:rPr>
          <w:spacing w:val="-4"/>
          <w:kern w:val="2"/>
          <w:szCs w:val="20"/>
          <w:u w:val="none"/>
        </w:rPr>
        <w:t>伪私募</w:t>
      </w:r>
      <w:r>
        <w:rPr>
          <w:rFonts w:hint="eastAsia"/>
          <w:spacing w:val="-4"/>
          <w:kern w:val="2"/>
          <w:szCs w:val="20"/>
          <w:u w:val="none"/>
        </w:rPr>
        <w:t>”“</w:t>
      </w:r>
      <w:r>
        <w:rPr>
          <w:spacing w:val="-4"/>
          <w:kern w:val="2"/>
          <w:szCs w:val="20"/>
          <w:u w:val="none"/>
        </w:rPr>
        <w:t>伪金交所</w:t>
      </w:r>
      <w:r>
        <w:rPr>
          <w:rFonts w:hint="eastAsia"/>
          <w:spacing w:val="-4"/>
          <w:kern w:val="2"/>
          <w:szCs w:val="20"/>
          <w:u w:val="none"/>
        </w:rPr>
        <w:t>”</w:t>
      </w:r>
      <w:r>
        <w:rPr>
          <w:spacing w:val="-4"/>
          <w:kern w:val="2"/>
          <w:szCs w:val="20"/>
          <w:u w:val="none"/>
        </w:rPr>
        <w:t>等重点领域风险排查处置。</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spacing w:val="-4"/>
          <w:kern w:val="2"/>
          <w:szCs w:val="20"/>
          <w:u w:val="none"/>
        </w:rPr>
        <w:t>（2）项2022年底前完成</w:t>
      </w:r>
      <w:r>
        <w:rPr>
          <w:rFonts w:hint="eastAsia"/>
          <w:spacing w:val="-4"/>
          <w:kern w:val="2"/>
          <w:szCs w:val="20"/>
          <w:u w:val="none"/>
        </w:rPr>
        <w:t>，</w:t>
      </w:r>
      <w:r>
        <w:rPr>
          <w:spacing w:val="-4"/>
          <w:kern w:val="2"/>
          <w:szCs w:val="20"/>
          <w:u w:val="none"/>
        </w:rPr>
        <w:t>（1）（3）（4）项持续推进。</w:t>
      </w:r>
    </w:p>
    <w:p>
      <w:pPr>
        <w:adjustRightInd/>
        <w:spacing w:after="0" w:line="240" w:lineRule="auto"/>
        <w:ind w:firstLine="616" w:firstLineChars="200"/>
        <w:textAlignment w:val="auto"/>
        <w:rPr>
          <w:spacing w:val="-4"/>
          <w:kern w:val="2"/>
          <w:szCs w:val="20"/>
          <w:u w:val="none"/>
        </w:rPr>
      </w:pPr>
      <w:r>
        <w:rPr>
          <w:rFonts w:eastAsia="方正楷体_GBK"/>
          <w:spacing w:val="-4"/>
          <w:kern w:val="2"/>
          <w:szCs w:val="20"/>
          <w:u w:val="none"/>
        </w:rPr>
        <w:t>责任单位：</w:t>
      </w:r>
      <w:r>
        <w:rPr>
          <w:spacing w:val="-4"/>
          <w:kern w:val="2"/>
          <w:szCs w:val="20"/>
          <w:u w:val="none"/>
        </w:rPr>
        <w:t>市金融监管局、重庆银保监局、重庆证监局</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（十八）加快发展技术要素市场。（1）</w:t>
      </w:r>
      <w:r>
        <w:rPr>
          <w:kern w:val="2"/>
          <w:szCs w:val="20"/>
          <w:u w:val="none"/>
        </w:rPr>
        <w:t>积极参与全国性技术交易市场建设，推动技术交易市场互联互通。</w:t>
      </w:r>
      <w:r>
        <w:rPr>
          <w:rFonts w:eastAsia="方正楷体_GBK"/>
          <w:kern w:val="2"/>
          <w:szCs w:val="20"/>
          <w:u w:val="none"/>
        </w:rPr>
        <w:t>（2）</w:t>
      </w:r>
      <w:r>
        <w:rPr>
          <w:kern w:val="2"/>
          <w:szCs w:val="20"/>
          <w:u w:val="none"/>
        </w:rPr>
        <w:t>优化重庆科技资源共享平台功能，推动与国家大型科研仪器设备网络管理平台的数据对接，加大科技领域国际合作力度。</w:t>
      </w:r>
      <w:r>
        <w:rPr>
          <w:rFonts w:eastAsia="方正楷体_GBK"/>
          <w:kern w:val="2"/>
          <w:szCs w:val="20"/>
          <w:u w:val="none"/>
        </w:rPr>
        <w:t>（3）</w:t>
      </w:r>
      <w:r>
        <w:rPr>
          <w:kern w:val="2"/>
          <w:szCs w:val="20"/>
          <w:u w:val="none"/>
        </w:rPr>
        <w:t>支持高等学校、科研院所设立技术转移机构，积极引育市场化、专业化的技术转移服务机构。建设市级综合性知识产权交易运营平台，推动完善知识产权市场化定价和交易机制。</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spacing w:val="-4"/>
          <w:kern w:val="2"/>
          <w:szCs w:val="20"/>
          <w:u w:val="none"/>
        </w:rPr>
        <w:t>持续推进</w:t>
      </w:r>
    </w:p>
    <w:p>
      <w:pPr>
        <w:adjustRightInd/>
        <w:spacing w:after="0" w:line="240" w:lineRule="auto"/>
        <w:ind w:firstLine="632" w:firstLineChars="200"/>
        <w:textAlignment w:val="auto"/>
        <w:rPr>
          <w:kern w:val="2"/>
          <w:szCs w:val="20"/>
          <w:u w:val="none"/>
        </w:rPr>
      </w:pPr>
      <w:r>
        <w:rPr>
          <w:rFonts w:eastAsia="方正楷体_GBK"/>
          <w:kern w:val="2"/>
          <w:szCs w:val="20"/>
          <w:u w:val="none"/>
        </w:rPr>
        <w:t>责任单位：</w:t>
      </w:r>
      <w:r>
        <w:rPr>
          <w:kern w:val="2"/>
          <w:szCs w:val="20"/>
          <w:u w:val="none"/>
        </w:rPr>
        <w:t>市科技局、市知识产权局</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（十九）探索培育数据要素市场。（1）</w:t>
      </w:r>
      <w:r>
        <w:rPr>
          <w:kern w:val="2"/>
          <w:szCs w:val="20"/>
          <w:u w:val="none"/>
        </w:rPr>
        <w:t>加快建设全国一体化算力网络成渝国家枢纽节点，探索建立与其他枢纽节点间的双边调度机制，加快数据中心项目建设，积极融入国家</w:t>
      </w:r>
      <w:r>
        <w:rPr>
          <w:rFonts w:hint="eastAsia"/>
          <w:kern w:val="2"/>
          <w:szCs w:val="20"/>
          <w:u w:val="none"/>
        </w:rPr>
        <w:t>“</w:t>
      </w:r>
      <w:r>
        <w:rPr>
          <w:kern w:val="2"/>
          <w:szCs w:val="20"/>
          <w:u w:val="none"/>
        </w:rPr>
        <w:t>东数西算</w:t>
      </w:r>
      <w:r>
        <w:rPr>
          <w:rFonts w:hint="eastAsia"/>
          <w:kern w:val="2"/>
          <w:szCs w:val="20"/>
          <w:u w:val="none"/>
        </w:rPr>
        <w:t>”</w:t>
      </w:r>
      <w:r>
        <w:rPr>
          <w:kern w:val="2"/>
          <w:szCs w:val="20"/>
          <w:u w:val="none"/>
        </w:rPr>
        <w:t>工程。</w:t>
      </w:r>
      <w:r>
        <w:rPr>
          <w:rFonts w:eastAsia="方正楷体_GBK"/>
          <w:kern w:val="2"/>
          <w:szCs w:val="20"/>
          <w:u w:val="none"/>
        </w:rPr>
        <w:t>（2）</w:t>
      </w:r>
      <w:r>
        <w:rPr>
          <w:kern w:val="2"/>
          <w:szCs w:val="20"/>
          <w:u w:val="none"/>
        </w:rPr>
        <w:t>依托西部数据交易中心探索建立数据交易中介服务、登记确权、价值评估、收益分配、纠纷处理等配套制度，推动数据产品和服务进场交易。</w:t>
      </w:r>
      <w:r>
        <w:rPr>
          <w:rFonts w:eastAsia="方正楷体_GBK"/>
          <w:kern w:val="2"/>
          <w:szCs w:val="20"/>
          <w:u w:val="none"/>
        </w:rPr>
        <w:t>（3）</w:t>
      </w:r>
      <w:r>
        <w:rPr>
          <w:kern w:val="2"/>
          <w:szCs w:val="20"/>
          <w:u w:val="none"/>
        </w:rPr>
        <w:t>编制公共数据开放目录，推进公共数据分类分级开放。出台《重庆市数据安全管理办法（试行）》，健全数据安全管理制度，增强数据安全风险管控能力，提高数据安全保障水平。</w:t>
      </w:r>
    </w:p>
    <w:p>
      <w:pPr>
        <w:widowControl w:val="0"/>
        <w:adjustRightInd/>
        <w:spacing w:after="0" w:line="240" w:lineRule="auto"/>
        <w:ind w:firstLine="616" w:firstLineChars="200"/>
        <w:jc w:val="left"/>
        <w:textAlignment w:val="auto"/>
        <w:rPr>
          <w:kern w:val="2"/>
          <w:szCs w:val="20"/>
          <w:u w:val="none"/>
        </w:rPr>
      </w:pPr>
      <w:r>
        <w:rPr>
          <w:rFonts w:eastAsia="方正楷体_GBK"/>
          <w:spacing w:val="-4"/>
          <w:u w:val="none"/>
        </w:rPr>
        <w:t>进度安排：</w:t>
      </w:r>
      <w:r>
        <w:rPr>
          <w:kern w:val="2"/>
          <w:szCs w:val="20"/>
          <w:u w:val="none"/>
        </w:rPr>
        <w:t>（3）项2022年底前完成</w:t>
      </w:r>
      <w:r>
        <w:rPr>
          <w:rFonts w:hint="eastAsia"/>
          <w:kern w:val="2"/>
          <w:szCs w:val="20"/>
          <w:u w:val="none"/>
        </w:rPr>
        <w:t>，</w:t>
      </w:r>
      <w:r>
        <w:rPr>
          <w:kern w:val="2"/>
          <w:szCs w:val="20"/>
          <w:u w:val="none"/>
        </w:rPr>
        <w:t>（1）（2）项持续推进。</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责任单位：</w:t>
      </w:r>
      <w:r>
        <w:rPr>
          <w:kern w:val="2"/>
          <w:szCs w:val="20"/>
          <w:u w:val="none"/>
        </w:rPr>
        <w:t>市大数据发展局</w:t>
      </w:r>
    </w:p>
    <w:p>
      <w:pPr>
        <w:adjustRightInd/>
        <w:spacing w:after="0" w:line="240" w:lineRule="auto"/>
        <w:ind w:firstLine="632" w:firstLineChars="200"/>
        <w:textAlignment w:val="auto"/>
        <w:rPr>
          <w:kern w:val="2"/>
          <w:szCs w:val="20"/>
          <w:u w:val="none"/>
        </w:rPr>
      </w:pPr>
      <w:r>
        <w:rPr>
          <w:rFonts w:eastAsia="方正楷体_GBK"/>
          <w:kern w:val="2"/>
          <w:szCs w:val="20"/>
          <w:u w:val="none"/>
        </w:rPr>
        <w:t>（二十）积极推进能源市场建设。（1）</w:t>
      </w:r>
      <w:r>
        <w:rPr>
          <w:kern w:val="2"/>
          <w:szCs w:val="20"/>
          <w:u w:val="none"/>
        </w:rPr>
        <w:t>全力推进电力现货交易试点，不断扩大参与电力市场用户范围，推进源荷一体化调峰辅助服务市场建设。</w:t>
      </w:r>
      <w:r>
        <w:rPr>
          <w:rFonts w:eastAsia="方正楷体_GBK"/>
          <w:kern w:val="2"/>
          <w:szCs w:val="20"/>
          <w:u w:val="none"/>
        </w:rPr>
        <w:t>（2）</w:t>
      </w:r>
      <w:r>
        <w:rPr>
          <w:kern w:val="2"/>
          <w:szCs w:val="20"/>
          <w:u w:val="none"/>
        </w:rPr>
        <w:t>充分利用全国天然气市场资源，通过完善天然气终端价格市场化调节机制，采取交易中心线上竞价交易、供需双方线下谈判交易等方式，推动建立反映市场供需的天然气市场化交易体系，加快融入全国统一天然气市场。</w:t>
      </w:r>
      <w:r>
        <w:rPr>
          <w:rFonts w:eastAsia="方正楷体_GBK"/>
          <w:kern w:val="2"/>
          <w:szCs w:val="20"/>
          <w:u w:val="none"/>
        </w:rPr>
        <w:t>（3）</w:t>
      </w:r>
      <w:r>
        <w:rPr>
          <w:kern w:val="2"/>
          <w:szCs w:val="20"/>
          <w:u w:val="none"/>
        </w:rPr>
        <w:t>探索开展储气服务及储存气量市场化交易，建立健全储气库市场化运营模式。</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kern w:val="2"/>
          <w:szCs w:val="20"/>
          <w:u w:val="none"/>
        </w:rPr>
        <w:t>持续推进</w:t>
      </w:r>
    </w:p>
    <w:p>
      <w:pPr>
        <w:adjustRightInd/>
        <w:spacing w:after="0" w:line="240" w:lineRule="auto"/>
        <w:ind w:firstLine="632" w:firstLineChars="200"/>
        <w:textAlignment w:val="auto"/>
        <w:rPr>
          <w:kern w:val="2"/>
          <w:szCs w:val="20"/>
          <w:u w:val="none"/>
        </w:rPr>
      </w:pPr>
      <w:r>
        <w:rPr>
          <w:rFonts w:eastAsia="方正楷体_GBK"/>
          <w:kern w:val="2"/>
          <w:szCs w:val="20"/>
          <w:u w:val="none"/>
        </w:rPr>
        <w:t>责任单位：</w:t>
      </w:r>
      <w:r>
        <w:rPr>
          <w:kern w:val="2"/>
          <w:szCs w:val="20"/>
          <w:u w:val="none"/>
        </w:rPr>
        <w:t>市发展改革委、市能源局、市经济信息委</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（二十一）培育发展生态环境市场。（1）</w:t>
      </w:r>
      <w:r>
        <w:rPr>
          <w:kern w:val="2"/>
          <w:szCs w:val="20"/>
          <w:u w:val="none"/>
        </w:rPr>
        <w:t>落实全国碳排放权交易市场建设框架，深度参与全国碳排放权交易市场建设和运维。</w:t>
      </w:r>
      <w:r>
        <w:rPr>
          <w:rFonts w:eastAsia="方正楷体_GBK"/>
          <w:kern w:val="2"/>
          <w:szCs w:val="20"/>
          <w:u w:val="none"/>
        </w:rPr>
        <w:t>（2）</w:t>
      </w:r>
      <w:r>
        <w:rPr>
          <w:kern w:val="2"/>
          <w:szCs w:val="20"/>
          <w:u w:val="none"/>
        </w:rPr>
        <w:t>健全排污权、碳排放权交易机制，探索开展资源环境权益质押融资，依法审慎开发环境权益交易产品。</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kern w:val="2"/>
          <w:szCs w:val="20"/>
          <w:u w:val="none"/>
        </w:rPr>
        <w:t>（2）项2022年底前完成</w:t>
      </w:r>
      <w:r>
        <w:rPr>
          <w:rFonts w:hint="eastAsia"/>
          <w:kern w:val="2"/>
          <w:szCs w:val="20"/>
          <w:u w:val="none"/>
        </w:rPr>
        <w:t>，</w:t>
      </w:r>
      <w:r>
        <w:rPr>
          <w:kern w:val="2"/>
          <w:szCs w:val="20"/>
          <w:u w:val="none"/>
        </w:rPr>
        <w:t>（1）项持续推进。</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责任单位：</w:t>
      </w:r>
      <w:r>
        <w:rPr>
          <w:spacing w:val="-4"/>
          <w:u w:val="none"/>
        </w:rPr>
        <w:t>市生态环境局</w:t>
      </w:r>
    </w:p>
    <w:p>
      <w:pPr>
        <w:adjustRightInd/>
        <w:spacing w:after="0" w:line="240" w:lineRule="auto"/>
        <w:ind w:firstLine="632" w:firstLineChars="200"/>
        <w:textAlignment w:val="auto"/>
        <w:rPr>
          <w:rFonts w:eastAsia="方正黑体_GBK"/>
          <w:kern w:val="2"/>
          <w:szCs w:val="20"/>
          <w:u w:val="none"/>
        </w:rPr>
      </w:pPr>
      <w:r>
        <w:rPr>
          <w:rFonts w:eastAsia="方正黑体_GBK"/>
          <w:kern w:val="2"/>
          <w:szCs w:val="20"/>
          <w:u w:val="none"/>
        </w:rPr>
        <w:t>四、推动商品和服务市场高水平统一</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（二十二）健全质量管理政策体系。（1）</w:t>
      </w:r>
      <w:r>
        <w:rPr>
          <w:kern w:val="2"/>
          <w:szCs w:val="20"/>
          <w:u w:val="none"/>
        </w:rPr>
        <w:t>落实质量强国建设纲要重点任务，实施产品和服务质量分级，建立全供应链、全产业链、产品全生命周期质量管理体系。</w:t>
      </w:r>
      <w:r>
        <w:rPr>
          <w:rFonts w:eastAsia="方正楷体_GBK"/>
          <w:kern w:val="2"/>
          <w:szCs w:val="20"/>
          <w:u w:val="none"/>
        </w:rPr>
        <w:t>（2）</w:t>
      </w:r>
      <w:r>
        <w:rPr>
          <w:kern w:val="2"/>
          <w:szCs w:val="20"/>
          <w:u w:val="none"/>
        </w:rPr>
        <w:t>创建国家质量基础设施协同服务及集成运用基地，服务全国统一产品伤害检测体系建设。</w:t>
      </w:r>
      <w:r>
        <w:rPr>
          <w:rFonts w:eastAsia="方正楷体_GBK"/>
          <w:kern w:val="2"/>
          <w:szCs w:val="20"/>
          <w:u w:val="none"/>
        </w:rPr>
        <w:t>（3）</w:t>
      </w:r>
      <w:r>
        <w:rPr>
          <w:kern w:val="2"/>
          <w:szCs w:val="20"/>
          <w:u w:val="none"/>
        </w:rPr>
        <w:t>完善质量监测评价体系，建立规上企业质量统计制度，开展制造业产品质量合格率、质量合格率和公共服务质量监测评价。</w:t>
      </w:r>
      <w:r>
        <w:rPr>
          <w:rFonts w:eastAsia="方正楷体_GBK"/>
          <w:kern w:val="2"/>
          <w:szCs w:val="20"/>
          <w:u w:val="none"/>
        </w:rPr>
        <w:t>（4）</w:t>
      </w:r>
      <w:r>
        <w:rPr>
          <w:kern w:val="2"/>
          <w:szCs w:val="20"/>
          <w:u w:val="none"/>
        </w:rPr>
        <w:t>完善质量品牌激励机制，将质量发展工作经费按规定纳入同级财政预算。</w:t>
      </w:r>
    </w:p>
    <w:p>
      <w:pPr>
        <w:widowControl w:val="0"/>
        <w:adjustRightInd/>
        <w:spacing w:after="0" w:line="240" w:lineRule="auto"/>
        <w:ind w:firstLine="616" w:firstLineChars="200"/>
        <w:jc w:val="left"/>
        <w:textAlignment w:val="auto"/>
        <w:rPr>
          <w:rFonts w:eastAsia="方正楷体_GBK"/>
          <w:spacing w:val="-4"/>
          <w:kern w:val="2"/>
          <w:szCs w:val="20"/>
          <w:u w:val="none"/>
        </w:rPr>
      </w:pPr>
      <w:r>
        <w:rPr>
          <w:rFonts w:eastAsia="方正楷体_GBK"/>
          <w:spacing w:val="-4"/>
          <w:u w:val="none"/>
        </w:rPr>
        <w:t>进度安排：</w:t>
      </w:r>
      <w:r>
        <w:rPr>
          <w:spacing w:val="-4"/>
          <w:u w:val="none"/>
        </w:rPr>
        <w:t>持续推进</w:t>
      </w:r>
    </w:p>
    <w:p>
      <w:pPr>
        <w:adjustRightInd/>
        <w:spacing w:after="0" w:line="240" w:lineRule="auto"/>
        <w:ind w:firstLine="632" w:firstLineChars="200"/>
        <w:textAlignment w:val="auto"/>
        <w:rPr>
          <w:spacing w:val="-4"/>
          <w:u w:val="none"/>
        </w:rPr>
      </w:pPr>
      <w:r>
        <w:rPr>
          <w:rFonts w:eastAsia="方正楷体_GBK"/>
          <w:kern w:val="2"/>
          <w:szCs w:val="20"/>
          <w:u w:val="none"/>
        </w:rPr>
        <w:t>责任单位：</w:t>
      </w:r>
      <w:r>
        <w:rPr>
          <w:spacing w:val="-4"/>
          <w:u w:val="none"/>
        </w:rPr>
        <w:t>市市场监管局、市统计局、市财政局，市级有关部门</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（二十三）全面开展质量提升行动。（1）</w:t>
      </w:r>
      <w:r>
        <w:rPr>
          <w:kern w:val="2"/>
          <w:szCs w:val="20"/>
          <w:u w:val="none"/>
        </w:rPr>
        <w:t>争创国家质量创新先导区、质量强国标杆城市、质量品牌提升示范区。</w:t>
      </w:r>
      <w:r>
        <w:rPr>
          <w:rFonts w:eastAsia="方正楷体_GBK"/>
          <w:kern w:val="2"/>
          <w:szCs w:val="20"/>
          <w:u w:val="none"/>
        </w:rPr>
        <w:t>（2）</w:t>
      </w:r>
      <w:r>
        <w:rPr>
          <w:kern w:val="2"/>
          <w:szCs w:val="20"/>
          <w:u w:val="none"/>
        </w:rPr>
        <w:t>对标国际先进标准，支持企业发展</w:t>
      </w:r>
      <w:r>
        <w:rPr>
          <w:rFonts w:hint="eastAsia"/>
          <w:kern w:val="2"/>
          <w:szCs w:val="20"/>
          <w:u w:val="none"/>
        </w:rPr>
        <w:t>“</w:t>
      </w:r>
      <w:r>
        <w:rPr>
          <w:kern w:val="2"/>
          <w:szCs w:val="20"/>
          <w:u w:val="none"/>
        </w:rPr>
        <w:t>同线同标同质</w:t>
      </w:r>
      <w:r>
        <w:rPr>
          <w:rFonts w:hint="eastAsia"/>
          <w:kern w:val="2"/>
          <w:szCs w:val="20"/>
          <w:u w:val="none"/>
        </w:rPr>
        <w:t>”</w:t>
      </w:r>
      <w:r>
        <w:rPr>
          <w:kern w:val="2"/>
          <w:szCs w:val="20"/>
          <w:u w:val="none"/>
        </w:rPr>
        <w:t>产品。</w:t>
      </w:r>
      <w:r>
        <w:rPr>
          <w:rFonts w:hint="eastAsia" w:ascii="Times New Roman" w:hAnsi="Times New Roman"/>
          <w:kern w:val="2"/>
          <w:szCs w:val="20"/>
          <w:u w:val="none"/>
          <w:lang w:eastAsia="zh-CN"/>
        </w:rPr>
        <w:t>实施消费</w:t>
      </w:r>
      <w:r>
        <w:rPr>
          <w:kern w:val="2"/>
          <w:szCs w:val="20"/>
          <w:u w:val="none"/>
        </w:rPr>
        <w:t>品质量提升行动，加快升级</w:t>
      </w:r>
      <w:r>
        <w:rPr>
          <w:rFonts w:hint="eastAsia" w:ascii="Times New Roman" w:hAnsi="Times New Roman"/>
          <w:kern w:val="2"/>
          <w:szCs w:val="20"/>
          <w:u w:val="none"/>
          <w:lang w:eastAsia="zh-CN"/>
        </w:rPr>
        <w:t>消费</w:t>
      </w:r>
      <w:r>
        <w:rPr>
          <w:kern w:val="2"/>
          <w:szCs w:val="20"/>
          <w:u w:val="none"/>
        </w:rPr>
        <w:t>品质量标准。</w:t>
      </w:r>
      <w:r>
        <w:rPr>
          <w:rFonts w:eastAsia="方正楷体_GBK"/>
          <w:kern w:val="2"/>
          <w:szCs w:val="20"/>
          <w:u w:val="none"/>
        </w:rPr>
        <w:t>（3）</w:t>
      </w:r>
      <w:r>
        <w:rPr>
          <w:kern w:val="2"/>
          <w:szCs w:val="20"/>
          <w:u w:val="none"/>
        </w:rPr>
        <w:t>加快传统产品迭代创新，加强产品前瞻性功能研发。</w:t>
      </w:r>
      <w:r>
        <w:rPr>
          <w:rFonts w:eastAsia="方正楷体_GBK"/>
          <w:kern w:val="2"/>
          <w:szCs w:val="20"/>
          <w:u w:val="none"/>
        </w:rPr>
        <w:t>（4）</w:t>
      </w:r>
      <w:r>
        <w:rPr>
          <w:kern w:val="2"/>
          <w:szCs w:val="20"/>
          <w:u w:val="none"/>
        </w:rPr>
        <w:t>实施质量人才培养计划，开展</w:t>
      </w:r>
      <w:r>
        <w:rPr>
          <w:rFonts w:hint="eastAsia"/>
          <w:kern w:val="2"/>
          <w:szCs w:val="20"/>
          <w:u w:val="none"/>
        </w:rPr>
        <w:t>“</w:t>
      </w:r>
      <w:r>
        <w:rPr>
          <w:kern w:val="2"/>
          <w:szCs w:val="20"/>
          <w:u w:val="none"/>
        </w:rPr>
        <w:t>百千万</w:t>
      </w:r>
      <w:r>
        <w:rPr>
          <w:rFonts w:hint="eastAsia"/>
          <w:kern w:val="2"/>
          <w:szCs w:val="20"/>
          <w:u w:val="none"/>
        </w:rPr>
        <w:t>”</w:t>
      </w:r>
      <w:r>
        <w:rPr>
          <w:kern w:val="2"/>
          <w:szCs w:val="20"/>
          <w:u w:val="none"/>
        </w:rPr>
        <w:t>中小企业质量管理能力提升行动，推进质量管理（QC）小组活动，推动新型质量管理体系应用。</w:t>
      </w:r>
    </w:p>
    <w:p>
      <w:pPr>
        <w:adjustRightInd/>
        <w:spacing w:after="0" w:line="240" w:lineRule="auto"/>
        <w:ind w:firstLine="616" w:firstLineChars="200"/>
        <w:textAlignment w:val="auto"/>
        <w:rPr>
          <w:rFonts w:eastAsia="方正楷体_GBK"/>
          <w:kern w:val="2"/>
          <w:szCs w:val="20"/>
          <w:u w:val="none"/>
        </w:rPr>
      </w:pPr>
      <w:r>
        <w:rPr>
          <w:rFonts w:eastAsia="方正楷体_GBK"/>
          <w:spacing w:val="-4"/>
          <w:u w:val="none"/>
        </w:rPr>
        <w:t>进度安排：</w:t>
      </w:r>
      <w:r>
        <w:rPr>
          <w:kern w:val="2"/>
          <w:szCs w:val="20"/>
          <w:u w:val="none"/>
        </w:rPr>
        <w:t>持续推进</w:t>
      </w:r>
    </w:p>
    <w:p>
      <w:pPr>
        <w:adjustRightInd/>
        <w:spacing w:after="0" w:line="240" w:lineRule="auto"/>
        <w:ind w:firstLine="632" w:firstLineChars="200"/>
        <w:textAlignment w:val="auto"/>
        <w:rPr>
          <w:rFonts w:eastAsia="方正楷体_GBK"/>
          <w:kern w:val="2"/>
          <w:szCs w:val="20"/>
          <w:u w:val="none"/>
        </w:rPr>
      </w:pPr>
      <w:r>
        <w:rPr>
          <w:rFonts w:eastAsia="方正楷体_GBK"/>
          <w:kern w:val="2"/>
          <w:szCs w:val="20"/>
          <w:u w:val="none"/>
        </w:rPr>
        <w:t>责任单位：</w:t>
      </w:r>
      <w:r>
        <w:rPr>
          <w:kern w:val="2"/>
          <w:szCs w:val="20"/>
          <w:u w:val="none"/>
        </w:rPr>
        <w:t>市市场监管局、市经济信息委，市级有关部门</w:t>
      </w:r>
    </w:p>
    <w:p>
      <w:pPr>
        <w:adjustRightInd/>
        <w:spacing w:after="0" w:line="570" w:lineRule="exact"/>
        <w:ind w:firstLine="0" w:firstLineChars="0"/>
        <w:textAlignment w:val="auto"/>
        <w:rPr>
          <w:rFonts w:hint="eastAsia" w:hAnsi="方正仿宋_GBK" w:eastAsia="方正仿宋_GBK"/>
          <w:kern w:val="2"/>
          <w:szCs w:val="32"/>
          <w:lang w:bidi="ar"/>
        </w:rPr>
      </w:pPr>
      <w:r>
        <w:rPr>
          <w:rFonts w:eastAsia="方正楷体_GBK"/>
          <w:kern w:val="2"/>
          <w:szCs w:val="20"/>
          <w:u w:val="none"/>
        </w:rPr>
        <w:t>（二十四）完善认证认可和检验检测体系。（1）</w:t>
      </w:r>
      <w:r>
        <w:rPr>
          <w:kern w:val="2"/>
          <w:szCs w:val="20"/>
          <w:u w:val="none"/>
        </w:rPr>
        <w:t>打造国家检验检测认证公共服务平台，加快国家质检基地（二期）、食品药品检测基地建设。加强川渝合作，积极争取设立药品、医疗器械审评检查分中心。</w:t>
      </w:r>
      <w:r>
        <w:rPr>
          <w:rFonts w:eastAsia="方正楷体_GBK"/>
          <w:kern w:val="2"/>
          <w:szCs w:val="20"/>
          <w:u w:val="none"/>
        </w:rPr>
        <w:t>（2）</w:t>
      </w:r>
      <w:r>
        <w:rPr>
          <w:kern w:val="2"/>
          <w:szCs w:val="20"/>
          <w:u w:val="none"/>
        </w:rPr>
        <w:t>开展小微企业质量管理体系认证提升行动，</w:t>
      </w:r>
      <w:r>
        <w:rPr>
          <w:rFonts w:hint="eastAsia" w:hAnsi="方正仿宋_GBK"/>
          <w:kern w:val="2"/>
          <w:szCs w:val="32"/>
          <w:lang w:bidi="ar"/>
        </w:rPr>
        <w:t>推行区域特色认证，建设一批认证示范园区（基地）。</w:t>
      </w:r>
      <w:r>
        <w:rPr>
          <w:rFonts w:hint="eastAsia" w:hAnsi="方正仿宋_GBK" w:eastAsia="方正仿宋_GBK"/>
          <w:kern w:val="2"/>
          <w:szCs w:val="32"/>
          <w:lang w:bidi="ar"/>
        </w:rPr>
        <w:t>（3）</w:t>
      </w:r>
      <w:r>
        <w:rPr>
          <w:rFonts w:hint="eastAsia" w:hAnsi="方正仿宋_GBK"/>
          <w:kern w:val="2"/>
          <w:szCs w:val="32"/>
          <w:lang w:bidi="ar"/>
        </w:rPr>
        <w:t>深化认证制度改革，推动认证结果跨行业跨区域互通互认。</w:t>
      </w:r>
      <w:r>
        <w:rPr>
          <w:rFonts w:hint="eastAsia" w:hAnsi="方正仿宋_GBK" w:eastAsia="方正仿宋_GBK"/>
          <w:kern w:val="2"/>
          <w:szCs w:val="32"/>
          <w:lang w:bidi="ar"/>
        </w:rPr>
        <w:t>（4）</w:t>
      </w:r>
      <w:r>
        <w:rPr>
          <w:rFonts w:hint="eastAsia" w:hAnsi="方正仿宋_GBK"/>
          <w:kern w:val="2"/>
          <w:szCs w:val="32"/>
          <w:lang w:bidi="ar"/>
        </w:rPr>
        <w:t>加强公益性检验检测机构专业化建设，推进经营性检验机构集约化运营、产业化发展。支持社会力量开展检验检测业务。</w:t>
      </w:r>
      <w:r>
        <w:rPr>
          <w:rFonts w:hint="eastAsia" w:hAnsi="方正仿宋_GBK" w:eastAsia="方正仿宋_GBK"/>
          <w:kern w:val="2"/>
          <w:szCs w:val="32"/>
          <w:lang w:bidi="ar"/>
        </w:rPr>
        <w:t>（5）</w:t>
      </w:r>
      <w:r>
        <w:rPr>
          <w:rFonts w:hint="eastAsia" w:hAnsi="方正仿宋_GBK"/>
          <w:kern w:val="2"/>
          <w:szCs w:val="32"/>
          <w:lang w:bidi="ar"/>
        </w:rPr>
        <w:t>推行低碳、健康等高端服务认证。</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spacing w:val="0"/>
          <w:kern w:val="2"/>
          <w:lang w:bidi="ar"/>
        </w:rPr>
        <w:t>进度安排：</w:t>
      </w:r>
      <w:r>
        <w:rPr>
          <w:rFonts w:hint="eastAsia" w:hAnsi="方正仿宋_GBK"/>
          <w:kern w:val="2"/>
          <w:szCs w:val="32"/>
          <w:lang w:bidi="ar"/>
        </w:rPr>
        <w:t>持续推进</w:t>
      </w:r>
    </w:p>
    <w:p>
      <w:pPr>
        <w:adjustRightInd/>
        <w:spacing w:after="0" w:line="570" w:lineRule="exact"/>
        <w:ind w:firstLine="0" w:firstLineChars="0"/>
        <w:textAlignment w:val="auto"/>
        <w:rPr>
          <w:rFonts w:hint="eastAsia" w:hAnsi="方正仿宋_GBK"/>
          <w:kern w:val="2"/>
          <w:szCs w:val="32"/>
          <w:lang w:bidi="ar"/>
        </w:rPr>
      </w:pPr>
      <w:r>
        <w:rPr>
          <w:rFonts w:hint="eastAsia" w:hAnsi="方正仿宋_GBK" w:eastAsia="方正仿宋_GBK"/>
          <w:kern w:val="2"/>
          <w:szCs w:val="32"/>
          <w:lang w:bidi="ar"/>
        </w:rPr>
        <w:t>责任单位：</w:t>
      </w:r>
      <w:r>
        <w:rPr>
          <w:rFonts w:hint="eastAsia" w:hAnsi="方正仿宋_GBK"/>
          <w:kern w:val="2"/>
          <w:szCs w:val="32"/>
          <w:lang w:bidi="ar"/>
        </w:rPr>
        <w:t>市市场监管局、市药监局、市经济信息委、市科技局，市级有关部门</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（二十五）推动标准化制度创新。（1）</w:t>
      </w:r>
      <w:r>
        <w:rPr>
          <w:rFonts w:hint="eastAsia" w:hAnsi="方正仿宋_GBK"/>
          <w:kern w:val="2"/>
          <w:szCs w:val="32"/>
          <w:lang w:bidi="ar"/>
        </w:rPr>
        <w:t>实施国家标准化发展纲要，优化政府颁布标准与市场自主制定标准结构，扩大市场自主制定标准比重。</w:t>
      </w:r>
      <w:r>
        <w:rPr>
          <w:rFonts w:hint="eastAsia" w:hAnsi="方正仿宋_GBK" w:eastAsia="方正仿宋_GBK"/>
          <w:kern w:val="2"/>
          <w:szCs w:val="32"/>
          <w:lang w:bidi="ar"/>
        </w:rPr>
        <w:t>（2）</w:t>
      </w:r>
      <w:r>
        <w:rPr>
          <w:rFonts w:hint="eastAsia" w:hAnsi="方正仿宋_GBK"/>
          <w:kern w:val="2"/>
          <w:szCs w:val="32"/>
          <w:lang w:bidi="ar"/>
        </w:rPr>
        <w:t>推进重点领域地方标准制修订，支持内外资企业依法平等参与标准化工作。</w:t>
      </w:r>
      <w:r>
        <w:rPr>
          <w:rFonts w:hint="eastAsia" w:hAnsi="方正仿宋_GBK" w:eastAsia="方正仿宋_GBK"/>
          <w:kern w:val="2"/>
          <w:szCs w:val="32"/>
          <w:lang w:bidi="ar"/>
        </w:rPr>
        <w:t>（3）</w:t>
      </w:r>
      <w:r>
        <w:rPr>
          <w:rFonts w:hint="eastAsia" w:hAnsi="方正仿宋_GBK"/>
          <w:kern w:val="2"/>
          <w:szCs w:val="32"/>
          <w:lang w:bidi="ar"/>
        </w:rPr>
        <w:t>开展对标达标专项行动，实施团体标准培优计划，支持企业争创企业标准“领跑者”，完善推动高质量发展的标准体系。</w:t>
      </w:r>
      <w:r>
        <w:rPr>
          <w:rFonts w:hint="eastAsia" w:hAnsi="方正仿宋_GBK" w:eastAsia="方正仿宋_GBK"/>
          <w:kern w:val="2"/>
          <w:szCs w:val="32"/>
          <w:lang w:bidi="ar"/>
        </w:rPr>
        <w:t>（4）</w:t>
      </w:r>
      <w:r>
        <w:rPr>
          <w:rFonts w:hint="eastAsia" w:hAnsi="方正仿宋_GBK"/>
          <w:kern w:val="2"/>
          <w:szCs w:val="32"/>
          <w:lang w:bidi="ar"/>
        </w:rPr>
        <w:t>推动人工智能、区块链、物联网、云计算等领域标准化建设。</w:t>
      </w:r>
    </w:p>
    <w:p>
      <w:pPr>
        <w:adjustRightInd/>
        <w:spacing w:after="0" w:line="570" w:lineRule="exact"/>
        <w:ind w:firstLine="0" w:firstLineChars="0"/>
        <w:textAlignment w:val="auto"/>
        <w:rPr>
          <w:rFonts w:hint="eastAsia" w:hAnsi="方正仿宋_GBK"/>
          <w:kern w:val="2"/>
          <w:szCs w:val="32"/>
          <w:lang w:bidi="ar"/>
        </w:rPr>
      </w:pPr>
      <w:r>
        <w:rPr>
          <w:rFonts w:hint="eastAsia" w:hAnsi="方正仿宋_GBK" w:eastAsia="方正仿宋_GBK"/>
          <w:spacing w:val="0"/>
          <w:kern w:val="2"/>
          <w:lang w:bidi="ar"/>
        </w:rPr>
        <w:t>进度安排：</w:t>
      </w:r>
      <w:r>
        <w:rPr>
          <w:rFonts w:hint="eastAsia" w:hAnsi="方正仿宋_GBK"/>
          <w:kern w:val="2"/>
          <w:szCs w:val="32"/>
          <w:lang w:bidi="ar"/>
        </w:rPr>
        <w:t>持续推进</w:t>
      </w:r>
    </w:p>
    <w:p>
      <w:pPr>
        <w:adjustRightInd/>
        <w:spacing w:after="0" w:line="570" w:lineRule="exact"/>
        <w:ind w:firstLine="0" w:firstLineChars="0"/>
        <w:textAlignment w:val="auto"/>
        <w:rPr>
          <w:rFonts w:hint="eastAsia" w:hAnsi="方正仿宋_GBK"/>
          <w:kern w:val="2"/>
          <w:szCs w:val="32"/>
          <w:lang w:bidi="ar"/>
        </w:rPr>
      </w:pPr>
      <w:r>
        <w:rPr>
          <w:rFonts w:hint="eastAsia" w:hAnsi="方正仿宋_GBK" w:eastAsia="方正仿宋_GBK"/>
          <w:kern w:val="2"/>
          <w:szCs w:val="32"/>
          <w:lang w:bidi="ar"/>
        </w:rPr>
        <w:t>责任单位：</w:t>
      </w:r>
      <w:r>
        <w:rPr>
          <w:rFonts w:hint="eastAsia" w:hAnsi="方正仿宋_GBK"/>
          <w:kern w:val="2"/>
          <w:szCs w:val="32"/>
          <w:lang w:bidi="ar"/>
        </w:rPr>
        <w:t>市市场监管局、市经济信息委、市大数据发展局，市级有关部门</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（二十六）建设现代先进测量体系。（1）</w:t>
      </w:r>
      <w:r>
        <w:rPr>
          <w:rFonts w:hint="eastAsia" w:hAnsi="方正仿宋_GBK"/>
          <w:kern w:val="2"/>
          <w:szCs w:val="32"/>
          <w:lang w:bidi="ar"/>
        </w:rPr>
        <w:t>推进国家频率中心重庆应用中心、国家汽车摩托车发动机产业计量测试中心和国家铝产业计量测试中心建设。</w:t>
      </w:r>
      <w:r>
        <w:rPr>
          <w:rFonts w:hint="eastAsia" w:hAnsi="方正仿宋_GBK" w:eastAsia="方正仿宋_GBK"/>
          <w:kern w:val="2"/>
          <w:szCs w:val="32"/>
          <w:lang w:bidi="ar"/>
        </w:rPr>
        <w:t>（2）</w:t>
      </w:r>
      <w:r>
        <w:rPr>
          <w:rFonts w:hint="eastAsia" w:hAnsi="方正仿宋_GBK"/>
          <w:kern w:val="2"/>
          <w:szCs w:val="32"/>
          <w:lang w:bidi="ar"/>
        </w:rPr>
        <w:t>围绕战略性新兴产业、高新技术产业、先进制造业等领域，支持企业、院校和科研机构参与产业计量测试中心建设。</w:t>
      </w:r>
      <w:r>
        <w:rPr>
          <w:rFonts w:hint="eastAsia" w:hAnsi="方正仿宋_GBK" w:eastAsia="方正仿宋_GBK"/>
          <w:kern w:val="2"/>
          <w:szCs w:val="32"/>
          <w:lang w:bidi="ar"/>
        </w:rPr>
        <w:t>（3）</w:t>
      </w:r>
      <w:r>
        <w:rPr>
          <w:rFonts w:hint="eastAsia" w:hAnsi="方正仿宋_GBK"/>
          <w:kern w:val="2"/>
          <w:szCs w:val="32"/>
          <w:lang w:bidi="ar"/>
        </w:rPr>
        <w:t>完善高精度社会公用计量标准、计量科技基础服务体系和产业计量测试体系。强化制造业强基计量支撑，着力突破一批关键测量技术。</w:t>
      </w:r>
      <w:r>
        <w:rPr>
          <w:rFonts w:hint="eastAsia" w:hAnsi="方正仿宋_GBK" w:eastAsia="方正仿宋_GBK"/>
          <w:kern w:val="2"/>
          <w:szCs w:val="32"/>
          <w:lang w:bidi="ar"/>
        </w:rPr>
        <w:t>（4）</w:t>
      </w:r>
      <w:r>
        <w:rPr>
          <w:rFonts w:hint="eastAsia" w:hAnsi="方正仿宋_GBK"/>
          <w:kern w:val="2"/>
          <w:szCs w:val="32"/>
          <w:lang w:bidi="ar"/>
        </w:rPr>
        <w:t>深化水表、燃气表出厂检定、首次检定“二检合一”改革。</w:t>
      </w:r>
    </w:p>
    <w:p>
      <w:pPr>
        <w:adjustRightInd/>
        <w:spacing w:after="0" w:line="570" w:lineRule="exact"/>
        <w:ind w:firstLine="0" w:firstLineChars="0"/>
        <w:textAlignment w:val="auto"/>
        <w:rPr>
          <w:rFonts w:hint="eastAsia" w:hAnsi="方正仿宋_GBK"/>
          <w:kern w:val="2"/>
          <w:szCs w:val="32"/>
          <w:lang w:bidi="ar"/>
        </w:rPr>
      </w:pPr>
      <w:r>
        <w:rPr>
          <w:rFonts w:hint="eastAsia" w:hAnsi="方正仿宋_GBK" w:eastAsia="方正仿宋_GBK"/>
          <w:spacing w:val="0"/>
          <w:kern w:val="2"/>
          <w:lang w:bidi="ar"/>
        </w:rPr>
        <w:t>进度安排：</w:t>
      </w:r>
      <w:r>
        <w:rPr>
          <w:rFonts w:hint="eastAsia" w:hAnsi="方正仿宋_GBK"/>
          <w:kern w:val="2"/>
          <w:szCs w:val="32"/>
          <w:lang w:bidi="ar"/>
        </w:rPr>
        <w:t>持续推进</w:t>
      </w:r>
    </w:p>
    <w:p>
      <w:pPr>
        <w:adjustRightInd/>
        <w:spacing w:after="0" w:line="570" w:lineRule="exact"/>
        <w:ind w:firstLine="0" w:firstLineChars="0"/>
        <w:textAlignment w:val="auto"/>
        <w:rPr>
          <w:rFonts w:hint="eastAsia" w:ascii="Times New Roman" w:hAnsi="方正仿宋_GBK" w:eastAsia="方正仿宋_GBK"/>
          <w:kern w:val="2"/>
          <w:szCs w:val="32"/>
          <w:lang w:bidi="ar"/>
        </w:rPr>
      </w:pPr>
      <w:r>
        <w:rPr>
          <w:rFonts w:hint="eastAsia" w:ascii="Times New Roman" w:hAnsi="方正仿宋_GBK" w:eastAsia="方正仿宋_GBK"/>
          <w:kern w:val="2"/>
          <w:szCs w:val="32"/>
          <w:lang w:bidi="ar"/>
        </w:rPr>
        <w:t>责任单位：</w:t>
      </w:r>
      <w:r>
        <w:rPr>
          <w:rFonts w:hint="eastAsia" w:ascii="Times New Roman" w:hAnsi="方正仿宋_GBK"/>
          <w:kern w:val="2"/>
          <w:szCs w:val="32"/>
          <w:lang w:bidi="ar"/>
        </w:rPr>
        <w:t>市市场监管局、市经济信息委，市级有关部门</w:t>
      </w:r>
    </w:p>
    <w:p>
      <w:pPr>
        <w:adjustRightInd/>
        <w:spacing w:after="0" w:line="570" w:lineRule="exact"/>
        <w:ind w:firstLine="0" w:firstLineChars="0"/>
        <w:textAlignment w:val="auto"/>
        <w:rPr>
          <w:rFonts w:hint="eastAsia" w:hAnsi="方正仿宋_GBK"/>
          <w:spacing w:val="0"/>
          <w:kern w:val="2"/>
          <w:szCs w:val="32"/>
          <w:lang w:bidi="ar"/>
        </w:rPr>
      </w:pPr>
      <w:r>
        <w:rPr>
          <w:rFonts w:hint="eastAsia" w:hAnsi="方正仿宋_GBK" w:eastAsia="方正仿宋_GBK"/>
          <w:kern w:val="2"/>
          <w:szCs w:val="32"/>
          <w:lang w:bidi="ar"/>
        </w:rPr>
        <w:t>（二十七）完善消费纠纷化解机制。（1）</w:t>
      </w:r>
      <w:r>
        <w:rPr>
          <w:rFonts w:hint="eastAsia" w:hAnsi="方正仿宋_GBK"/>
          <w:kern w:val="2"/>
          <w:szCs w:val="32"/>
          <w:lang w:bidi="ar"/>
        </w:rPr>
        <w:t>优化消费纠纷解决流程与反馈机制，完善消费投诉信息公示机制，拓展消费维权网络建设，促进消费纠纷源头治理。探索消费者权益保护部门衔接联动机制。</w:t>
      </w:r>
      <w:r>
        <w:rPr>
          <w:rFonts w:hint="eastAsia" w:hAnsi="方正仿宋_GBK" w:eastAsia="方正仿宋_GBK"/>
          <w:kern w:val="2"/>
          <w:szCs w:val="32"/>
          <w:lang w:bidi="ar"/>
        </w:rPr>
        <w:t>（2）</w:t>
      </w:r>
      <w:r>
        <w:rPr>
          <w:rFonts w:hint="eastAsia" w:hAnsi="方正仿宋_GBK"/>
          <w:kern w:val="2"/>
          <w:szCs w:val="32"/>
          <w:lang w:bidi="ar"/>
        </w:rPr>
        <w:t>健全消费者公益诉讼制度，探索建立消费者集体诉讼制度，在诉讼程序、庭审过程、举证责任等方面加强对消费者的司法保</w:t>
      </w:r>
      <w:r>
        <w:rPr>
          <w:rFonts w:hint="eastAsia" w:hAnsi="方正仿宋_GBK"/>
          <w:spacing w:val="0"/>
          <w:kern w:val="2"/>
          <w:szCs w:val="32"/>
          <w:lang w:bidi="ar"/>
        </w:rPr>
        <w:t>护。</w:t>
      </w:r>
      <w:r>
        <w:rPr>
          <w:rFonts w:hint="eastAsia" w:hAnsi="方正仿宋_GBK" w:eastAsia="方正仿宋_GBK"/>
          <w:kern w:val="2"/>
          <w:szCs w:val="32"/>
          <w:lang w:bidi="ar"/>
        </w:rPr>
        <w:t>（3）</w:t>
      </w:r>
      <w:r>
        <w:rPr>
          <w:rFonts w:hint="eastAsia" w:hAnsi="方正仿宋_GBK"/>
          <w:spacing w:val="0"/>
          <w:kern w:val="2"/>
          <w:szCs w:val="32"/>
          <w:lang w:bidi="ar"/>
        </w:rPr>
        <w:t>支持消费者权益保护委员会行使公益性诉讼权利。</w:t>
      </w:r>
    </w:p>
    <w:p>
      <w:pPr>
        <w:widowControl/>
        <w:adjustRightInd/>
        <w:spacing w:after="0" w:line="570" w:lineRule="exact"/>
        <w:ind w:firstLine="0" w:firstLineChars="0"/>
        <w:jc w:val="left"/>
        <w:textAlignment w:val="auto"/>
        <w:rPr>
          <w:rFonts w:hint="eastAsia" w:hAnsi="方正仿宋_GBK"/>
          <w:spacing w:val="0"/>
          <w:kern w:val="2"/>
          <w:lang w:bidi="ar"/>
        </w:rPr>
      </w:pPr>
      <w:r>
        <w:rPr>
          <w:rFonts w:hint="eastAsia" w:hAnsi="方正仿宋_GBK" w:eastAsia="方正仿宋_GBK"/>
          <w:spacing w:val="0"/>
          <w:kern w:val="2"/>
          <w:lang w:bidi="ar"/>
        </w:rPr>
        <w:t>进度安排：</w:t>
      </w:r>
      <w:r>
        <w:rPr>
          <w:rFonts w:hint="eastAsia" w:hAnsi="方正仿宋_GBK"/>
          <w:kern w:val="2"/>
          <w:szCs w:val="32"/>
          <w:lang w:bidi="ar"/>
        </w:rPr>
        <w:t>持续推进</w:t>
      </w:r>
    </w:p>
    <w:p>
      <w:pPr>
        <w:adjustRightInd/>
        <w:spacing w:after="0" w:line="570" w:lineRule="exact"/>
        <w:ind w:firstLine="0" w:firstLineChars="0"/>
        <w:textAlignment w:val="auto"/>
        <w:rPr>
          <w:rFonts w:hint="eastAsia" w:hAnsi="方正仿宋_GBK"/>
          <w:spacing w:val="0"/>
          <w:kern w:val="2"/>
          <w:lang w:bidi="ar"/>
        </w:rPr>
      </w:pPr>
      <w:r>
        <w:rPr>
          <w:rFonts w:hint="eastAsia" w:hAnsi="方正仿宋_GBK" w:eastAsia="方正仿宋_GBK"/>
          <w:spacing w:val="0"/>
          <w:kern w:val="2"/>
          <w:szCs w:val="32"/>
          <w:lang w:bidi="ar"/>
        </w:rPr>
        <w:t>责任单位：</w:t>
      </w:r>
      <w:r>
        <w:rPr>
          <w:rFonts w:hint="eastAsia" w:hAnsi="方正仿宋_GBK"/>
          <w:spacing w:val="0"/>
          <w:kern w:val="2"/>
          <w:lang w:bidi="ar"/>
        </w:rPr>
        <w:t>市高法院、市检察院、市市场监管局，各区县</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（二十八）强化民生领域消费维权。（1）</w:t>
      </w:r>
      <w:r>
        <w:rPr>
          <w:rFonts w:hint="eastAsia" w:hAnsi="方正仿宋_GBK"/>
          <w:kern w:val="2"/>
          <w:szCs w:val="32"/>
          <w:lang w:bidi="ar"/>
        </w:rPr>
        <w:t>推进房屋买卖、住房租赁市场秩序治理。</w:t>
      </w:r>
      <w:r>
        <w:rPr>
          <w:rFonts w:hint="eastAsia" w:hAnsi="方正仿宋_GBK" w:eastAsia="方正仿宋_GBK"/>
          <w:kern w:val="2"/>
          <w:szCs w:val="32"/>
          <w:lang w:bidi="ar"/>
        </w:rPr>
        <w:t>（2）</w:t>
      </w:r>
      <w:r>
        <w:rPr>
          <w:rFonts w:hint="eastAsia" w:hAnsi="方正仿宋_GBK"/>
          <w:kern w:val="2"/>
          <w:szCs w:val="32"/>
          <w:lang w:bidi="ar"/>
        </w:rPr>
        <w:t>对面向中小学生（含幼儿园阶段儿童）已审批的校外培训机构和预收费，全部纳入全国校外教育培训监管与服务综合平台监管。</w:t>
      </w:r>
      <w:r>
        <w:rPr>
          <w:rFonts w:hint="eastAsia" w:hAnsi="方正仿宋_GBK" w:eastAsia="方正仿宋_GBK"/>
          <w:kern w:val="2"/>
          <w:szCs w:val="32"/>
          <w:lang w:bidi="ar"/>
        </w:rPr>
        <w:t>（3）</w:t>
      </w:r>
      <w:r>
        <w:rPr>
          <w:rFonts w:hint="eastAsia" w:hAnsi="方正仿宋_GBK"/>
          <w:kern w:val="2"/>
          <w:szCs w:val="32"/>
          <w:lang w:bidi="ar"/>
        </w:rPr>
        <w:t>建立以市场形成价格为主的养老机构服务收费管理机制，依法整治老年人产品和服务消费领域侵权行为。</w:t>
      </w:r>
      <w:r>
        <w:rPr>
          <w:rFonts w:hint="eastAsia" w:hAnsi="方正仿宋_GBK" w:eastAsia="方正仿宋_GBK"/>
          <w:kern w:val="2"/>
          <w:szCs w:val="32"/>
          <w:lang w:bidi="ar"/>
        </w:rPr>
        <w:t>（4）</w:t>
      </w:r>
      <w:r>
        <w:rPr>
          <w:rFonts w:hint="eastAsia" w:hAnsi="方正仿宋_GBK"/>
          <w:kern w:val="2"/>
          <w:szCs w:val="32"/>
          <w:lang w:bidi="ar"/>
        </w:rPr>
        <w:t>完善“三调解一保险”医疗纠纷预防和处理体系。</w:t>
      </w:r>
      <w:r>
        <w:rPr>
          <w:rFonts w:hint="eastAsia" w:hAnsi="方正仿宋_GBK" w:eastAsia="方正仿宋_GBK"/>
          <w:kern w:val="2"/>
          <w:szCs w:val="32"/>
          <w:lang w:bidi="ar"/>
        </w:rPr>
        <w:t>（5）</w:t>
      </w:r>
      <w:r>
        <w:rPr>
          <w:rFonts w:hint="eastAsia" w:hAnsi="方正仿宋_GBK"/>
          <w:kern w:val="2"/>
          <w:szCs w:val="32"/>
          <w:lang w:bidi="ar"/>
        </w:rPr>
        <w:t>严格落实消费品召回、家用汽车“三包”等制度，推行线下无理由退货服务承诺，探索推行异地、异店退换货制度。</w:t>
      </w:r>
    </w:p>
    <w:p>
      <w:pPr>
        <w:widowControl/>
        <w:adjustRightInd/>
        <w:spacing w:after="0" w:line="570" w:lineRule="exact"/>
        <w:ind w:firstLine="0" w:firstLineChars="0"/>
        <w:jc w:val="left"/>
        <w:textAlignment w:val="auto"/>
        <w:rPr>
          <w:rFonts w:hint="eastAsia" w:hAnsi="方正仿宋_GBK" w:eastAsia="方正仿宋_GBK"/>
          <w:spacing w:val="0"/>
          <w:kern w:val="2"/>
          <w:szCs w:val="32"/>
          <w:lang w:bidi="ar"/>
        </w:rPr>
      </w:pPr>
      <w:r>
        <w:rPr>
          <w:rFonts w:hint="eastAsia" w:hAnsi="方正仿宋_GBK" w:eastAsia="方正仿宋_GBK"/>
          <w:spacing w:val="0"/>
          <w:kern w:val="2"/>
          <w:lang w:bidi="ar"/>
        </w:rPr>
        <w:t>进度安排：</w:t>
      </w:r>
      <w:r>
        <w:rPr>
          <w:rFonts w:hint="eastAsia" w:hAnsi="方正仿宋_GBK"/>
          <w:kern w:val="2"/>
          <w:szCs w:val="32"/>
          <w:lang w:bidi="ar"/>
        </w:rPr>
        <w:t>持续推进</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责任单位：</w:t>
      </w:r>
      <w:r>
        <w:rPr>
          <w:rFonts w:hint="eastAsia" w:hAnsi="方正仿宋_GBK"/>
          <w:kern w:val="2"/>
          <w:szCs w:val="32"/>
          <w:lang w:bidi="ar"/>
        </w:rPr>
        <w:t>市住房城乡建委、市教委、市民政局、市卫生健康委、市市场监管局，各区县</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五、推进市场监管公平统一</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（二十九）健全统一市场监管规则。（1）</w:t>
      </w:r>
      <w:r>
        <w:rPr>
          <w:rFonts w:hint="eastAsia" w:hAnsi="方正仿宋_GBK"/>
          <w:kern w:val="2"/>
          <w:szCs w:val="32"/>
          <w:lang w:bidi="ar"/>
        </w:rPr>
        <w:t>按照中央统一部署，有序推进食品药品、知识产权、公平竞争、消费者权益保护相关法规规章的立改废释，持续清理市场监管领域行政规范性文件。</w:t>
      </w:r>
      <w:r>
        <w:rPr>
          <w:rFonts w:hint="eastAsia" w:hAnsi="方正仿宋_GBK" w:eastAsia="方正仿宋_GBK"/>
          <w:kern w:val="2"/>
          <w:szCs w:val="32"/>
          <w:lang w:bidi="ar"/>
        </w:rPr>
        <w:t>（2）</w:t>
      </w:r>
      <w:r>
        <w:rPr>
          <w:rFonts w:hint="eastAsia" w:hAnsi="方正仿宋_GBK"/>
          <w:kern w:val="2"/>
          <w:szCs w:val="32"/>
          <w:lang w:bidi="ar"/>
        </w:rPr>
        <w:t>落实“四个最严”要求，在食品药品、医疗器械、特种设备等行业实行全主体、全品种、全链条监管。</w:t>
      </w:r>
      <w:r>
        <w:rPr>
          <w:rFonts w:hint="eastAsia" w:hAnsi="方正仿宋_GBK" w:eastAsia="方正仿宋_GBK"/>
          <w:kern w:val="2"/>
          <w:szCs w:val="32"/>
          <w:lang w:bidi="ar"/>
        </w:rPr>
        <w:t>（3）</w:t>
      </w:r>
      <w:r>
        <w:rPr>
          <w:rFonts w:hint="eastAsia" w:hAnsi="方正仿宋_GBK"/>
          <w:kern w:val="2"/>
          <w:szCs w:val="32"/>
          <w:lang w:bidi="ar"/>
        </w:rPr>
        <w:t>加强市场监管标准化规范化建设，依法公开监管标准和规则。</w:t>
      </w:r>
      <w:r>
        <w:rPr>
          <w:rFonts w:hint="eastAsia" w:hAnsi="方正仿宋_GBK" w:eastAsia="方正仿宋_GBK"/>
          <w:kern w:val="2"/>
          <w:szCs w:val="32"/>
          <w:lang w:bidi="ar"/>
        </w:rPr>
        <w:t>（4）</w:t>
      </w:r>
      <w:r>
        <w:rPr>
          <w:rFonts w:hint="eastAsia" w:hAnsi="方正仿宋_GBK"/>
          <w:kern w:val="2"/>
          <w:szCs w:val="32"/>
          <w:lang w:bidi="ar"/>
        </w:rPr>
        <w:t>对互联网医疗、线上教育培训、在线娱乐等新业态，推进线上线下一体化监管。实施重点工业产品质量安全监管目录，强化风险监测和监督抽查。</w:t>
      </w:r>
      <w:r>
        <w:rPr>
          <w:rFonts w:hint="eastAsia" w:hAnsi="方正仿宋_GBK" w:eastAsia="方正仿宋_GBK"/>
          <w:kern w:val="2"/>
          <w:szCs w:val="32"/>
          <w:lang w:bidi="ar"/>
        </w:rPr>
        <w:t>（5）</w:t>
      </w:r>
      <w:r>
        <w:rPr>
          <w:rFonts w:hint="eastAsia" w:hAnsi="方正仿宋_GBK"/>
          <w:kern w:val="2"/>
          <w:szCs w:val="32"/>
          <w:lang w:bidi="ar"/>
        </w:rPr>
        <w:t>加快建设“山城有信”平台，构建市场主体“一企一码”、重点商品“一品一码”、重点人员“一人一码”。</w:t>
      </w:r>
    </w:p>
    <w:p>
      <w:pPr>
        <w:widowControl/>
        <w:adjustRightInd/>
        <w:spacing w:after="0" w:line="570" w:lineRule="exact"/>
        <w:ind w:firstLine="0" w:firstLineChars="0"/>
        <w:jc w:val="left"/>
        <w:textAlignment w:val="auto"/>
        <w:rPr>
          <w:rFonts w:hint="eastAsia" w:hAnsi="方正仿宋_GBK" w:eastAsia="方正仿宋_GBK"/>
          <w:spacing w:val="0"/>
          <w:kern w:val="2"/>
          <w:lang w:bidi="ar"/>
        </w:rPr>
      </w:pPr>
      <w:r>
        <w:rPr>
          <w:rFonts w:hint="eastAsia" w:hAnsi="方正仿宋_GBK" w:eastAsia="方正仿宋_GBK"/>
          <w:spacing w:val="0"/>
          <w:kern w:val="2"/>
          <w:lang w:bidi="ar"/>
        </w:rPr>
        <w:t>进度安排：</w:t>
      </w:r>
      <w:r>
        <w:rPr>
          <w:rFonts w:hint="eastAsia" w:hAnsi="方正仿宋_GBK"/>
          <w:kern w:val="2"/>
          <w:szCs w:val="32"/>
          <w:lang w:bidi="ar"/>
        </w:rPr>
        <w:t>（5）项2022年底前完成，（1）（2）（3）（4）项持续推进。</w:t>
      </w:r>
    </w:p>
    <w:p>
      <w:pPr>
        <w:adjustRightInd/>
        <w:spacing w:after="0" w:line="570" w:lineRule="exact"/>
        <w:ind w:firstLine="0" w:firstLineChars="0"/>
        <w:textAlignment w:val="auto"/>
        <w:rPr>
          <w:rFonts w:hint="eastAsia" w:hAnsi="方正仿宋_GBK"/>
          <w:kern w:val="2"/>
          <w:szCs w:val="32"/>
          <w:lang w:bidi="ar"/>
        </w:rPr>
      </w:pPr>
      <w:r>
        <w:rPr>
          <w:rFonts w:hint="eastAsia" w:hAnsi="方正仿宋_GBK" w:eastAsia="方正仿宋_GBK"/>
          <w:kern w:val="2"/>
          <w:szCs w:val="32"/>
          <w:lang w:bidi="ar"/>
        </w:rPr>
        <w:t>责任单位：</w:t>
      </w:r>
      <w:r>
        <w:rPr>
          <w:rFonts w:hint="eastAsia" w:hAnsi="方正仿宋_GBK"/>
          <w:kern w:val="2"/>
          <w:szCs w:val="32"/>
          <w:lang w:bidi="ar"/>
        </w:rPr>
        <w:t>市市场监管局、市司法局、市药监局、市知识产权局、市公安局、市卫生健康委、市教委、市文化旅游委等，各区县</w:t>
      </w:r>
    </w:p>
    <w:p>
      <w:pPr>
        <w:adjustRightInd/>
        <w:spacing w:after="0" w:line="570" w:lineRule="exact"/>
        <w:ind w:firstLine="0" w:firstLineChars="0"/>
        <w:textAlignment w:val="auto"/>
        <w:rPr>
          <w:rFonts w:hint="eastAsia" w:hAnsi="方正仿宋_GBK" w:eastAsia="方正仿宋_GBK"/>
          <w:spacing w:val="0"/>
          <w:kern w:val="2"/>
          <w:szCs w:val="32"/>
          <w:lang w:bidi="ar"/>
        </w:rPr>
      </w:pPr>
      <w:r>
        <w:rPr>
          <w:rFonts w:hint="eastAsia" w:hAnsi="方正仿宋_GBK" w:eastAsia="方正仿宋_GBK"/>
          <w:kern w:val="2"/>
          <w:szCs w:val="32"/>
          <w:lang w:bidi="ar"/>
        </w:rPr>
        <w:t>（三十）强化统一市场监管执法。（1）</w:t>
      </w:r>
      <w:r>
        <w:rPr>
          <w:rFonts w:hint="eastAsia" w:hAnsi="方正仿宋_GBK"/>
          <w:kern w:val="2"/>
          <w:szCs w:val="32"/>
          <w:lang w:bidi="ar"/>
        </w:rPr>
        <w:t>严格落实市场监管行政执法自由裁量权基准制度，修订《重庆市行政处罚裁量权办法》。</w:t>
      </w:r>
      <w:r>
        <w:rPr>
          <w:rFonts w:hint="eastAsia" w:hAnsi="方正仿宋_GBK" w:eastAsia="方正仿宋_GBK"/>
          <w:kern w:val="2"/>
          <w:szCs w:val="32"/>
          <w:lang w:bidi="ar"/>
        </w:rPr>
        <w:t>（2）</w:t>
      </w:r>
      <w:r>
        <w:rPr>
          <w:rFonts w:hint="eastAsia" w:hAnsi="方正仿宋_GBK"/>
          <w:kern w:val="2"/>
          <w:szCs w:val="32"/>
          <w:lang w:bidi="ar"/>
        </w:rPr>
        <w:t>加强知识产权保护、反垄断、反不正当竞争执法队伍建设，建立跨部门综合监管制度，完善市场监管执法办案协作机制，统一执法</w:t>
      </w:r>
      <w:r>
        <w:rPr>
          <w:rFonts w:hint="eastAsia" w:hAnsi="方正仿宋_GBK"/>
          <w:spacing w:val="0"/>
          <w:kern w:val="2"/>
          <w:szCs w:val="32"/>
          <w:lang w:bidi="ar"/>
        </w:rPr>
        <w:t>标准和程序，规范执法行为，减少自由裁量权。</w:t>
      </w:r>
      <w:r>
        <w:rPr>
          <w:rFonts w:hint="eastAsia" w:hAnsi="方正仿宋_GBK" w:eastAsia="方正仿宋_GBK"/>
          <w:kern w:val="2"/>
          <w:szCs w:val="32"/>
          <w:lang w:bidi="ar"/>
        </w:rPr>
        <w:t>（3）</w:t>
      </w:r>
      <w:r>
        <w:rPr>
          <w:rFonts w:hint="eastAsia" w:hAnsi="方正仿宋_GBK"/>
          <w:spacing w:val="0"/>
          <w:kern w:val="2"/>
          <w:szCs w:val="32"/>
          <w:lang w:bidi="ar"/>
        </w:rPr>
        <w:t>开展行政执法案卷评查工作和行政执法监督体系建设试点，规范市场监管执法行为。</w:t>
      </w:r>
    </w:p>
    <w:p>
      <w:pPr>
        <w:widowControl/>
        <w:adjustRightInd/>
        <w:spacing w:after="0" w:line="570" w:lineRule="exact"/>
        <w:ind w:firstLine="0" w:firstLineChars="0"/>
        <w:jc w:val="left"/>
        <w:textAlignment w:val="auto"/>
        <w:rPr>
          <w:rFonts w:hint="eastAsia" w:hAnsi="方正仿宋_GBK" w:eastAsia="方正仿宋_GBK"/>
          <w:spacing w:val="0"/>
          <w:kern w:val="2"/>
          <w:szCs w:val="32"/>
          <w:lang w:bidi="ar"/>
        </w:rPr>
      </w:pPr>
      <w:r>
        <w:rPr>
          <w:rFonts w:hint="eastAsia" w:hAnsi="方正仿宋_GBK" w:eastAsia="方正仿宋_GBK"/>
          <w:spacing w:val="0"/>
          <w:kern w:val="2"/>
          <w:lang w:bidi="ar"/>
        </w:rPr>
        <w:t>进度安排：</w:t>
      </w:r>
      <w:r>
        <w:rPr>
          <w:rFonts w:hint="eastAsia" w:hAnsi="方正仿宋_GBK"/>
          <w:kern w:val="2"/>
          <w:szCs w:val="32"/>
          <w:lang w:bidi="ar"/>
        </w:rPr>
        <w:t>持续推进</w:t>
      </w:r>
    </w:p>
    <w:p>
      <w:pPr>
        <w:adjustRightInd/>
        <w:spacing w:after="0" w:line="570" w:lineRule="exact"/>
        <w:ind w:firstLine="0" w:firstLineChars="0"/>
        <w:textAlignment w:val="auto"/>
        <w:rPr>
          <w:rFonts w:hint="eastAsia" w:hAnsi="方正仿宋_GBK"/>
          <w:kern w:val="2"/>
          <w:szCs w:val="32"/>
          <w:lang w:bidi="ar"/>
        </w:rPr>
      </w:pPr>
      <w:r>
        <w:rPr>
          <w:rFonts w:hint="eastAsia" w:hAnsi="方正仿宋_GBK" w:eastAsia="方正仿宋_GBK"/>
          <w:spacing w:val="0"/>
          <w:kern w:val="2"/>
          <w:szCs w:val="32"/>
          <w:lang w:bidi="ar"/>
        </w:rPr>
        <w:t>责任单位：</w:t>
      </w:r>
      <w:r>
        <w:rPr>
          <w:rFonts w:hint="eastAsia" w:hAnsi="方正仿宋_GBK"/>
          <w:spacing w:val="0"/>
          <w:kern w:val="2"/>
          <w:szCs w:val="32"/>
          <w:lang w:bidi="ar"/>
        </w:rPr>
        <w:t>市市场监管局、市司法局，市级有关部门，各区县</w:t>
      </w:r>
    </w:p>
    <w:p>
      <w:pPr>
        <w:adjustRightInd/>
        <w:spacing w:after="0" w:line="570" w:lineRule="exact"/>
        <w:ind w:firstLine="0" w:firstLineChars="0"/>
        <w:textAlignment w:val="auto"/>
        <w:rPr>
          <w:rFonts w:hint="eastAsia" w:hAnsi="方正仿宋_GBK"/>
          <w:kern w:val="2"/>
          <w:szCs w:val="32"/>
          <w:lang w:bidi="ar"/>
        </w:rPr>
      </w:pPr>
      <w:r>
        <w:rPr>
          <w:rFonts w:hint="eastAsia" w:hAnsi="方正仿宋_GBK" w:eastAsia="方正仿宋_GBK"/>
          <w:kern w:val="2"/>
          <w:szCs w:val="32"/>
          <w:lang w:bidi="ar"/>
        </w:rPr>
        <w:t>（三十一）全面提升市场监管能力。（1）</w:t>
      </w:r>
      <w:r>
        <w:rPr>
          <w:rFonts w:hint="eastAsia" w:hAnsi="方正仿宋_GBK"/>
          <w:kern w:val="2"/>
          <w:szCs w:val="32"/>
          <w:lang w:bidi="ar"/>
        </w:rPr>
        <w:t>坚持“谁审批、谁监管，谁主管、谁监管”原则，实施“双随机、一公开”监管，推进企业信用风险分类管理。</w:t>
      </w:r>
      <w:r>
        <w:rPr>
          <w:rFonts w:hint="eastAsia" w:hAnsi="方正仿宋_GBK" w:eastAsia="方正仿宋_GBK"/>
          <w:kern w:val="2"/>
          <w:szCs w:val="32"/>
          <w:lang w:bidi="ar"/>
        </w:rPr>
        <w:t>（2）</w:t>
      </w:r>
      <w:r>
        <w:rPr>
          <w:rFonts w:hint="eastAsia" w:hAnsi="方正仿宋_GBK"/>
          <w:kern w:val="2"/>
          <w:szCs w:val="32"/>
          <w:lang w:bidi="ar"/>
        </w:rPr>
        <w:t>加强网络市场监管部门协同以及区域协作，推进网络市场协同共治。推行“互联网+监管”，加快建设智慧市场监管一体化平台，推进远程监管、移动监管和实时监管，提升市场监管政务服务、网络交易监管、消费者权益保护、重点产品追溯等方面信息化水平。</w:t>
      </w:r>
      <w:r>
        <w:rPr>
          <w:rFonts w:hint="eastAsia" w:hAnsi="方正仿宋_GBK" w:eastAsia="方正仿宋_GBK"/>
          <w:kern w:val="2"/>
          <w:szCs w:val="32"/>
          <w:lang w:bidi="ar"/>
        </w:rPr>
        <w:t>（3）</w:t>
      </w:r>
      <w:r>
        <w:rPr>
          <w:rFonts w:hint="eastAsia" w:hAnsi="方正仿宋_GBK"/>
          <w:kern w:val="2"/>
          <w:szCs w:val="32"/>
          <w:lang w:bidi="ar"/>
        </w:rPr>
        <w:t>探索新业态新模式触发式监管机制，健全“沙盒监管”、敏捷治理等监管方式。</w:t>
      </w:r>
      <w:r>
        <w:rPr>
          <w:rFonts w:hint="eastAsia" w:hAnsi="方正仿宋_GBK" w:eastAsia="方正仿宋_GBK"/>
          <w:kern w:val="2"/>
          <w:szCs w:val="32"/>
          <w:lang w:bidi="ar"/>
        </w:rPr>
        <w:t>（4）</w:t>
      </w:r>
      <w:r>
        <w:rPr>
          <w:rFonts w:hint="eastAsia" w:hAnsi="方正仿宋_GBK"/>
          <w:kern w:val="2"/>
          <w:szCs w:val="32"/>
          <w:lang w:bidi="ar"/>
        </w:rPr>
        <w:t>支持行业协会商会、新闻媒体、消费者和公众共同参与监督评议。</w:t>
      </w:r>
    </w:p>
    <w:p>
      <w:pPr>
        <w:widowControl/>
        <w:adjustRightInd/>
        <w:spacing w:after="0" w:line="570" w:lineRule="exact"/>
        <w:ind w:firstLine="0" w:firstLineChars="0"/>
        <w:jc w:val="left"/>
        <w:textAlignment w:val="auto"/>
        <w:rPr>
          <w:rFonts w:hint="eastAsia" w:hAnsi="方正仿宋_GBK"/>
          <w:spacing w:val="0"/>
          <w:kern w:val="2"/>
          <w:szCs w:val="32"/>
          <w:lang w:bidi="ar"/>
        </w:rPr>
      </w:pPr>
      <w:r>
        <w:rPr>
          <w:rFonts w:hint="eastAsia" w:hAnsi="方正仿宋_GBK" w:eastAsia="方正仿宋_GBK"/>
          <w:spacing w:val="0"/>
          <w:kern w:val="2"/>
          <w:lang w:bidi="ar"/>
        </w:rPr>
        <w:t>进度安排：</w:t>
      </w:r>
      <w:r>
        <w:rPr>
          <w:rFonts w:hint="eastAsia" w:hAnsi="方正仿宋_GBK"/>
          <w:kern w:val="2"/>
          <w:szCs w:val="32"/>
          <w:lang w:bidi="ar"/>
        </w:rPr>
        <w:t>持续推进</w:t>
      </w:r>
    </w:p>
    <w:p>
      <w:pPr>
        <w:adjustRightInd/>
        <w:spacing w:after="0" w:line="570" w:lineRule="exact"/>
        <w:ind w:firstLine="0" w:firstLineChars="0"/>
        <w:textAlignment w:val="auto"/>
        <w:rPr>
          <w:rFonts w:hint="eastAsia" w:hAnsi="方正仿宋_GBK"/>
          <w:spacing w:val="0"/>
          <w:kern w:val="2"/>
          <w:lang w:bidi="ar"/>
        </w:rPr>
      </w:pPr>
      <w:r>
        <w:rPr>
          <w:rFonts w:hint="eastAsia" w:hAnsi="方正仿宋_GBK" w:eastAsia="方正仿宋_GBK"/>
          <w:kern w:val="2"/>
          <w:szCs w:val="32"/>
          <w:lang w:bidi="ar"/>
        </w:rPr>
        <w:t>责任单位：</w:t>
      </w:r>
      <w:r>
        <w:rPr>
          <w:rFonts w:hint="eastAsia" w:hAnsi="方正仿宋_GBK"/>
          <w:spacing w:val="0"/>
          <w:kern w:val="2"/>
          <w:lang w:bidi="ar"/>
        </w:rPr>
        <w:t>市市场监管局，市级有关部门，各区县</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六、全面清理规范不当市场竞争和市场干预行为</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（三十二）加强反垄断执法。（1）</w:t>
      </w:r>
      <w:r>
        <w:rPr>
          <w:rFonts w:hint="eastAsia" w:hAnsi="方正仿宋_GBK"/>
          <w:kern w:val="2"/>
          <w:szCs w:val="32"/>
          <w:lang w:bidi="ar"/>
        </w:rPr>
        <w:t>严格监管自然垄断领域和环节，严厉查处垄断协议、滥用市场支配地位等行为。</w:t>
      </w:r>
      <w:r>
        <w:rPr>
          <w:rFonts w:hint="eastAsia" w:hAnsi="方正仿宋_GBK" w:eastAsia="方正仿宋_GBK"/>
          <w:kern w:val="2"/>
          <w:szCs w:val="32"/>
          <w:lang w:bidi="ar"/>
        </w:rPr>
        <w:t>（2）</w:t>
      </w:r>
      <w:r>
        <w:rPr>
          <w:rFonts w:hint="eastAsia" w:hAnsi="方正仿宋_GBK"/>
          <w:kern w:val="2"/>
          <w:szCs w:val="32"/>
          <w:lang w:bidi="ar"/>
        </w:rPr>
        <w:t>推动破除平台企业数据垄断等问题，预防和制止滥用市场支配地位从事操纵市场、设置排他性合作条款等活动。</w:t>
      </w:r>
      <w:r>
        <w:rPr>
          <w:rFonts w:hint="eastAsia" w:hAnsi="方正仿宋_GBK" w:eastAsia="方正仿宋_GBK"/>
          <w:kern w:val="2"/>
          <w:szCs w:val="32"/>
          <w:lang w:bidi="ar"/>
        </w:rPr>
        <w:t>（3）</w:t>
      </w:r>
      <w:r>
        <w:rPr>
          <w:rFonts w:hint="eastAsia" w:hAnsi="方正仿宋_GBK"/>
          <w:kern w:val="2"/>
          <w:szCs w:val="32"/>
          <w:lang w:bidi="ar"/>
        </w:rPr>
        <w:t>强化供水、供电、供气、医药及“红顶中介”等重点民生领域反垄断执法。</w:t>
      </w:r>
      <w:r>
        <w:rPr>
          <w:rFonts w:hint="eastAsia" w:hAnsi="方正仿宋_GBK" w:eastAsia="方正仿宋_GBK"/>
          <w:kern w:val="2"/>
          <w:szCs w:val="32"/>
          <w:lang w:bidi="ar"/>
        </w:rPr>
        <w:t>（4）</w:t>
      </w:r>
      <w:r>
        <w:rPr>
          <w:rFonts w:hint="eastAsia" w:hAnsi="方正仿宋_GBK"/>
          <w:kern w:val="2"/>
          <w:szCs w:val="32"/>
          <w:lang w:bidi="ar"/>
        </w:rPr>
        <w:t>加强信息安全和科技创新等领域反垄断监管执法，开展经营者集中简易案件反垄断审查工作试点，强化垄断风险识别、预警和防范。</w:t>
      </w:r>
    </w:p>
    <w:p>
      <w:pPr>
        <w:widowControl/>
        <w:adjustRightInd/>
        <w:spacing w:after="0" w:line="570" w:lineRule="exact"/>
        <w:ind w:firstLine="0" w:firstLineChars="0"/>
        <w:jc w:val="left"/>
        <w:textAlignment w:val="auto"/>
        <w:rPr>
          <w:rFonts w:hint="eastAsia" w:hAnsi="方正仿宋_GBK"/>
          <w:spacing w:val="0"/>
          <w:kern w:val="2"/>
          <w:lang w:bidi="ar"/>
        </w:rPr>
      </w:pPr>
      <w:r>
        <w:rPr>
          <w:rFonts w:hint="eastAsia" w:hAnsi="方正仿宋_GBK" w:eastAsia="方正仿宋_GBK"/>
          <w:spacing w:val="0"/>
          <w:kern w:val="2"/>
          <w:lang w:bidi="ar"/>
        </w:rPr>
        <w:t>进度安排：</w:t>
      </w:r>
      <w:r>
        <w:rPr>
          <w:rFonts w:hint="eastAsia" w:hAnsi="方正仿宋_GBK"/>
          <w:spacing w:val="0"/>
          <w:kern w:val="2"/>
          <w:lang w:bidi="ar"/>
        </w:rPr>
        <w:t>持续推进</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责任单位：</w:t>
      </w:r>
      <w:r>
        <w:rPr>
          <w:rFonts w:hint="eastAsia" w:hAnsi="方正仿宋_GBK"/>
          <w:spacing w:val="0"/>
          <w:kern w:val="2"/>
          <w:lang w:bidi="ar"/>
        </w:rPr>
        <w:t>市市场监管局</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（三十三）加强反不正当竞争执法。（1）</w:t>
      </w:r>
      <w:r>
        <w:rPr>
          <w:rFonts w:hint="eastAsia" w:hAnsi="方正仿宋_GBK"/>
          <w:kern w:val="2"/>
          <w:szCs w:val="32"/>
          <w:lang w:bidi="ar"/>
        </w:rPr>
        <w:t>修订《重庆市反不正当竞争条例》，对市场主体、消费者反映强烈的重点行业和领域，加强全链条竞争监管执法。</w:t>
      </w:r>
      <w:r>
        <w:rPr>
          <w:rFonts w:hint="eastAsia" w:hAnsi="方正仿宋_GBK" w:eastAsia="方正仿宋_GBK"/>
          <w:kern w:val="2"/>
          <w:szCs w:val="32"/>
          <w:lang w:bidi="ar"/>
        </w:rPr>
        <w:t>（2）</w:t>
      </w:r>
      <w:r>
        <w:rPr>
          <w:rFonts w:hint="eastAsia" w:hAnsi="方正仿宋_GBK"/>
          <w:kern w:val="2"/>
          <w:szCs w:val="32"/>
          <w:lang w:bidi="ar"/>
        </w:rPr>
        <w:t>加大对商业混淆、商业贿赂、虚假宣传、虚假交易、违法有奖销售等不正当竞争行为的监督力度。</w:t>
      </w:r>
      <w:r>
        <w:rPr>
          <w:rFonts w:hint="eastAsia" w:hAnsi="方正仿宋_GBK" w:eastAsia="方正仿宋_GBK"/>
          <w:kern w:val="2"/>
          <w:szCs w:val="32"/>
          <w:lang w:bidi="ar"/>
        </w:rPr>
        <w:t>（3）</w:t>
      </w:r>
      <w:r>
        <w:rPr>
          <w:rFonts w:hint="eastAsia" w:hAnsi="方正仿宋_GBK"/>
          <w:kern w:val="2"/>
          <w:szCs w:val="32"/>
          <w:lang w:bidi="ar"/>
        </w:rPr>
        <w:t>完善反不正当竞争规则，及时跟进新产业新业态新模式竞争行为监管，重点整治“刷单炒信”“流量造假”等问题，查办曝光典型案例。</w:t>
      </w:r>
    </w:p>
    <w:p>
      <w:pPr>
        <w:widowControl/>
        <w:adjustRightInd/>
        <w:spacing w:after="0" w:line="570" w:lineRule="exact"/>
        <w:ind w:firstLine="0" w:firstLineChars="0"/>
        <w:jc w:val="left"/>
        <w:textAlignment w:val="auto"/>
        <w:rPr>
          <w:rFonts w:hint="eastAsia" w:hAnsi="方正仿宋_GBK"/>
          <w:spacing w:val="0"/>
          <w:kern w:val="2"/>
          <w:lang w:bidi="ar"/>
        </w:rPr>
      </w:pPr>
      <w:r>
        <w:rPr>
          <w:rFonts w:hint="eastAsia" w:hAnsi="方正仿宋_GBK" w:eastAsia="方正仿宋_GBK"/>
          <w:spacing w:val="0"/>
          <w:kern w:val="2"/>
          <w:lang w:bidi="ar"/>
        </w:rPr>
        <w:t>进度安排：</w:t>
      </w:r>
      <w:r>
        <w:rPr>
          <w:rFonts w:hint="eastAsia" w:hAnsi="方正仿宋_GBK"/>
          <w:spacing w:val="0"/>
          <w:kern w:val="2"/>
          <w:lang w:bidi="ar"/>
        </w:rPr>
        <w:t>（1）项2022年底前完成，（2）（3）项持续推进。</w:t>
      </w:r>
    </w:p>
    <w:p>
      <w:pPr>
        <w:adjustRightInd/>
        <w:spacing w:after="0" w:line="570" w:lineRule="exact"/>
        <w:ind w:firstLine="0" w:firstLineChars="0"/>
        <w:textAlignment w:val="auto"/>
        <w:rPr>
          <w:rFonts w:hint="eastAsia" w:hAnsi="方正仿宋_GBK"/>
          <w:spacing w:val="0"/>
          <w:kern w:val="2"/>
          <w:lang w:bidi="ar"/>
        </w:rPr>
      </w:pPr>
      <w:r>
        <w:rPr>
          <w:rFonts w:hint="eastAsia" w:hAnsi="方正仿宋_GBK" w:eastAsia="方正仿宋_GBK"/>
          <w:kern w:val="2"/>
          <w:szCs w:val="32"/>
          <w:lang w:bidi="ar"/>
        </w:rPr>
        <w:t>责任单位：</w:t>
      </w:r>
      <w:r>
        <w:rPr>
          <w:rFonts w:hint="eastAsia" w:hAnsi="方正仿宋_GBK"/>
          <w:spacing w:val="0"/>
          <w:kern w:val="2"/>
          <w:lang w:bidi="ar"/>
        </w:rPr>
        <w:t>市市场监管局、市司法局、市公安局</w:t>
      </w:r>
    </w:p>
    <w:p>
      <w:pPr>
        <w:adjustRightInd/>
        <w:spacing w:after="0" w:line="570" w:lineRule="exact"/>
        <w:ind w:firstLine="0" w:firstLineChars="0"/>
        <w:textAlignment w:val="auto"/>
        <w:rPr>
          <w:rFonts w:hint="eastAsia" w:hAnsi="方正仿宋_GBK" w:eastAsia="方正仿宋_GBK"/>
          <w:spacing w:val="0"/>
          <w:kern w:val="2"/>
          <w:szCs w:val="32"/>
          <w:lang w:bidi="ar"/>
        </w:rPr>
      </w:pPr>
      <w:r>
        <w:rPr>
          <w:rFonts w:hint="eastAsia" w:hAnsi="方正仿宋_GBK" w:eastAsia="方正仿宋_GBK"/>
          <w:kern w:val="2"/>
          <w:szCs w:val="32"/>
          <w:lang w:bidi="ar"/>
        </w:rPr>
        <w:t>（三十四）开展地方保护和区域壁垒专项清理。（1）</w:t>
      </w:r>
      <w:r>
        <w:rPr>
          <w:rFonts w:hint="eastAsia" w:hAnsi="方正仿宋_GBK"/>
          <w:kern w:val="2"/>
          <w:szCs w:val="32"/>
          <w:lang w:bidi="ar"/>
        </w:rPr>
        <w:t>重点清理采用违背市场规律的产业政策，强制为本地主导产业配套、区域内搞产业链闭环、全产业链等行为；</w:t>
      </w:r>
      <w:r>
        <w:rPr>
          <w:rFonts w:hint="eastAsia" w:hAnsi="方正仿宋_GBK" w:eastAsia="方正仿宋_GBK"/>
          <w:kern w:val="2"/>
          <w:szCs w:val="32"/>
          <w:lang w:bidi="ar"/>
        </w:rPr>
        <w:t>（2）</w:t>
      </w:r>
      <w:r>
        <w:rPr>
          <w:rFonts w:hint="eastAsia" w:hAnsi="方正仿宋_GBK"/>
          <w:kern w:val="2"/>
          <w:szCs w:val="32"/>
          <w:lang w:bidi="ar"/>
        </w:rPr>
        <w:t>含有地方保护、市场分割、指定交易等妨碍统一市场和公平竞争的政策；</w:t>
      </w:r>
      <w:r>
        <w:rPr>
          <w:rFonts w:hint="eastAsia" w:hAnsi="方正仿宋_GBK" w:eastAsia="方正仿宋_GBK"/>
          <w:kern w:val="2"/>
          <w:szCs w:val="32"/>
          <w:lang w:bidi="ar"/>
        </w:rPr>
        <w:t>（3）</w:t>
      </w:r>
      <w:r>
        <w:rPr>
          <w:rFonts w:hint="eastAsia" w:hAnsi="方正仿宋_GBK"/>
          <w:kern w:val="2"/>
          <w:szCs w:val="32"/>
          <w:lang w:bidi="ar"/>
        </w:rPr>
        <w:t>歧视外资企业和外地企业、实行地方保护的财政补贴政策和各类优惠政策；</w:t>
      </w:r>
      <w:r>
        <w:rPr>
          <w:rFonts w:hint="eastAsia" w:hAnsi="方正仿宋_GBK" w:eastAsia="方正仿宋_GBK"/>
          <w:kern w:val="2"/>
          <w:szCs w:val="32"/>
          <w:lang w:bidi="ar"/>
        </w:rPr>
        <w:t>（4）</w:t>
      </w:r>
      <w:r>
        <w:rPr>
          <w:rFonts w:hint="eastAsia" w:hAnsi="方正仿宋_GBK"/>
          <w:kern w:val="2"/>
          <w:szCs w:val="32"/>
          <w:lang w:bidi="ar"/>
        </w:rPr>
        <w:t>设置不合理条件，排斥、限制或者禁止本地企业向外地提供商品和服务；</w:t>
      </w:r>
      <w:r>
        <w:rPr>
          <w:rFonts w:hint="eastAsia" w:hAnsi="方正仿宋_GBK" w:eastAsia="方正仿宋_GBK"/>
          <w:kern w:val="2"/>
          <w:szCs w:val="32"/>
          <w:lang w:bidi="ar"/>
        </w:rPr>
        <w:t>（5）</w:t>
      </w:r>
      <w:r>
        <w:rPr>
          <w:rFonts w:hint="eastAsia" w:hAnsi="方正仿宋_GBK"/>
          <w:kern w:val="2"/>
          <w:szCs w:val="32"/>
          <w:lang w:bidi="ar"/>
        </w:rPr>
        <w:t>阻碍本地企业面向全国所有符合资质的供应商统一采购；</w:t>
      </w:r>
      <w:r>
        <w:rPr>
          <w:rFonts w:hint="eastAsia" w:hAnsi="方正仿宋_GBK" w:eastAsia="方正仿宋_GBK"/>
          <w:kern w:val="2"/>
          <w:szCs w:val="32"/>
          <w:lang w:bidi="ar"/>
        </w:rPr>
        <w:t>（6）</w:t>
      </w:r>
      <w:r>
        <w:rPr>
          <w:rFonts w:hint="eastAsia" w:hAnsi="方正仿宋_GBK"/>
          <w:kern w:val="2"/>
          <w:szCs w:val="32"/>
          <w:lang w:bidi="ar"/>
        </w:rPr>
        <w:t>通用性资格资质凭证地区间不互认，导致企业重复办理、重复缴费；</w:t>
      </w:r>
      <w:r>
        <w:rPr>
          <w:rFonts w:hint="eastAsia" w:hAnsi="方正仿宋_GBK" w:eastAsia="方正仿宋_GBK"/>
          <w:kern w:val="2"/>
          <w:szCs w:val="32"/>
          <w:lang w:bidi="ar"/>
        </w:rPr>
        <w:t>（7）</w:t>
      </w:r>
      <w:r>
        <w:rPr>
          <w:rFonts w:hint="eastAsia" w:hAnsi="方正仿宋_GBK"/>
          <w:kern w:val="2"/>
          <w:szCs w:val="32"/>
          <w:lang w:bidi="ar"/>
        </w:rPr>
        <w:t>在招商引资过程中，没有法律依据或者国务院规定对重大项目以“一</w:t>
      </w:r>
      <w:r>
        <w:rPr>
          <w:rFonts w:hint="eastAsia" w:hAnsi="方正仿宋_GBK"/>
          <w:spacing w:val="0"/>
          <w:kern w:val="2"/>
          <w:szCs w:val="32"/>
          <w:lang w:bidi="ar"/>
        </w:rPr>
        <w:t>事一议”“一企一策”等方式提供税收返还、财政补贴等优惠政策，违法违规给予企业土地、环保等方面特殊政策和措施。</w:t>
      </w:r>
    </w:p>
    <w:p>
      <w:pPr>
        <w:widowControl/>
        <w:adjustRightInd/>
        <w:spacing w:after="0" w:line="570" w:lineRule="exact"/>
        <w:ind w:firstLine="0" w:firstLineChars="0"/>
        <w:jc w:val="left"/>
        <w:textAlignment w:val="auto"/>
        <w:rPr>
          <w:rFonts w:hint="eastAsia" w:hAnsi="方正仿宋_GBK" w:eastAsia="方正仿宋_GBK"/>
          <w:spacing w:val="0"/>
          <w:kern w:val="2"/>
          <w:szCs w:val="32"/>
          <w:lang w:bidi="ar"/>
        </w:rPr>
      </w:pPr>
      <w:r>
        <w:rPr>
          <w:rFonts w:hint="eastAsia" w:hAnsi="方正仿宋_GBK" w:eastAsia="方正仿宋_GBK"/>
          <w:spacing w:val="0"/>
          <w:kern w:val="2"/>
          <w:lang w:bidi="ar"/>
        </w:rPr>
        <w:t>进度安排：</w:t>
      </w:r>
      <w:r>
        <w:rPr>
          <w:rFonts w:hint="eastAsia" w:hAnsi="方正仿宋_GBK"/>
          <w:spacing w:val="0"/>
          <w:kern w:val="2"/>
          <w:lang w:bidi="ar"/>
        </w:rPr>
        <w:t>2022年底前阶段性完成，持续推进</w:t>
      </w:r>
    </w:p>
    <w:p>
      <w:pPr>
        <w:adjustRightInd/>
        <w:spacing w:after="0" w:line="570" w:lineRule="exact"/>
        <w:ind w:firstLine="0" w:firstLineChars="0"/>
        <w:textAlignment w:val="auto"/>
        <w:rPr>
          <w:rFonts w:hint="eastAsia" w:hAnsi="方正仿宋_GBK"/>
          <w:spacing w:val="0"/>
          <w:kern w:val="2"/>
          <w:lang w:bidi="ar"/>
        </w:rPr>
      </w:pPr>
      <w:r>
        <w:rPr>
          <w:rFonts w:hint="eastAsia" w:hAnsi="方正仿宋_GBK" w:eastAsia="方正仿宋_GBK"/>
          <w:spacing w:val="0"/>
          <w:kern w:val="2"/>
          <w:szCs w:val="32"/>
          <w:lang w:bidi="ar"/>
        </w:rPr>
        <w:t>责任单位：</w:t>
      </w:r>
      <w:r>
        <w:rPr>
          <w:rFonts w:hint="eastAsia" w:hAnsi="方正仿宋_GBK"/>
          <w:spacing w:val="0"/>
          <w:kern w:val="2"/>
          <w:lang w:bidi="ar"/>
        </w:rPr>
        <w:t>市发展改革委、市市场监管局，市级有关部门，各区县</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（三十五）开展妨碍依法平等准入和退出专项清理</w:t>
      </w:r>
      <w:r>
        <w:rPr>
          <w:rFonts w:hint="eastAsia" w:hAnsi="方正仿宋_GBK"/>
          <w:kern w:val="2"/>
          <w:szCs w:val="32"/>
          <w:lang w:bidi="ar"/>
        </w:rPr>
        <w:t>。</w:t>
      </w:r>
      <w:r>
        <w:rPr>
          <w:rFonts w:hint="eastAsia" w:hAnsi="方正仿宋_GBK" w:eastAsia="方正仿宋_GBK"/>
          <w:kern w:val="2"/>
          <w:szCs w:val="32"/>
          <w:lang w:bidi="ar"/>
        </w:rPr>
        <w:t>（1）</w:t>
      </w:r>
      <w:r>
        <w:rPr>
          <w:rFonts w:hint="eastAsia" w:hAnsi="方正仿宋_GBK"/>
          <w:kern w:val="2"/>
          <w:szCs w:val="32"/>
          <w:lang w:bidi="ar"/>
        </w:rPr>
        <w:t>重点清理在全国统一的《市场准入负面清单》之外自行发布带有市场准入性质的负面清单，对《市场准入负面清单》之外的行业领域违规另设市场准入行政许可和变相设定准入障碍；</w:t>
      </w:r>
      <w:r>
        <w:rPr>
          <w:rFonts w:hint="eastAsia" w:hAnsi="方正仿宋_GBK" w:eastAsia="方正仿宋_GBK"/>
          <w:kern w:val="2"/>
          <w:szCs w:val="32"/>
          <w:lang w:bidi="ar"/>
        </w:rPr>
        <w:t>（2）</w:t>
      </w:r>
      <w:r>
        <w:rPr>
          <w:rFonts w:hint="eastAsia" w:hAnsi="方正仿宋_GBK"/>
          <w:kern w:val="2"/>
          <w:szCs w:val="32"/>
          <w:lang w:bidi="ar"/>
        </w:rPr>
        <w:t>在法律法规明确规定外，要求企业必须在某地登记注册，为企业跨区域经营或迁移设置障碍；</w:t>
      </w:r>
      <w:r>
        <w:rPr>
          <w:rFonts w:hint="eastAsia" w:hAnsi="方正仿宋_GBK" w:eastAsia="方正仿宋_GBK"/>
          <w:kern w:val="2"/>
          <w:szCs w:val="32"/>
          <w:lang w:bidi="ar"/>
        </w:rPr>
        <w:t>（3）</w:t>
      </w:r>
      <w:r>
        <w:rPr>
          <w:rFonts w:hint="eastAsia" w:hAnsi="方正仿宋_GBK"/>
          <w:kern w:val="2"/>
          <w:szCs w:val="32"/>
          <w:lang w:bidi="ar"/>
        </w:rPr>
        <w:t>设置不合理和歧视性的准入、退出条件以限制商品服务、要素资源自由流动；</w:t>
      </w:r>
      <w:r>
        <w:rPr>
          <w:rFonts w:hint="eastAsia" w:hAnsi="方正仿宋_GBK" w:eastAsia="方正仿宋_GBK"/>
          <w:kern w:val="2"/>
          <w:szCs w:val="32"/>
          <w:lang w:bidi="ar"/>
        </w:rPr>
        <w:t>（4）</w:t>
      </w:r>
      <w:r>
        <w:rPr>
          <w:rFonts w:hint="eastAsia" w:hAnsi="方正仿宋_GBK"/>
          <w:kern w:val="2"/>
          <w:szCs w:val="32"/>
          <w:lang w:bidi="ar"/>
        </w:rPr>
        <w:t>以备案、注册、年检、认定、认证、指定、要求设立分公司等形式设定或者变相设定准入障碍；</w:t>
      </w:r>
      <w:r>
        <w:rPr>
          <w:rFonts w:hint="eastAsia" w:hAnsi="方正仿宋_GBK" w:eastAsia="方正仿宋_GBK"/>
          <w:kern w:val="2"/>
          <w:szCs w:val="32"/>
          <w:lang w:bidi="ar"/>
        </w:rPr>
        <w:t>（5）</w:t>
      </w:r>
      <w:r>
        <w:rPr>
          <w:rFonts w:hint="eastAsia" w:hAnsi="方正仿宋_GBK"/>
          <w:kern w:val="2"/>
          <w:szCs w:val="32"/>
          <w:lang w:bidi="ar"/>
        </w:rPr>
        <w:t>在资质认定、业务许可等方面，对外地企业设定明显高于本地经营者的资质要求、技术要求、检验标准或评审标准；</w:t>
      </w:r>
      <w:r>
        <w:rPr>
          <w:rFonts w:hint="eastAsia" w:hAnsi="方正仿宋_GBK" w:eastAsia="方正仿宋_GBK"/>
          <w:kern w:val="2"/>
          <w:szCs w:val="32"/>
          <w:lang w:bidi="ar"/>
        </w:rPr>
        <w:t>（6）</w:t>
      </w:r>
      <w:r>
        <w:rPr>
          <w:rFonts w:hint="eastAsia" w:hAnsi="方正仿宋_GBK"/>
          <w:kern w:val="2"/>
          <w:szCs w:val="32"/>
          <w:lang w:bidi="ar"/>
        </w:rPr>
        <w:t>将政务服务事项转为中介服务事项，搞变相审批、有偿服务；</w:t>
      </w:r>
      <w:r>
        <w:rPr>
          <w:rFonts w:hint="eastAsia" w:hAnsi="方正仿宋_GBK" w:eastAsia="方正仿宋_GBK"/>
          <w:kern w:val="2"/>
          <w:szCs w:val="32"/>
          <w:lang w:bidi="ar"/>
        </w:rPr>
        <w:t>（7）</w:t>
      </w:r>
      <w:r>
        <w:rPr>
          <w:rFonts w:hint="eastAsia" w:hAnsi="方正仿宋_GBK"/>
          <w:kern w:val="2"/>
          <w:szCs w:val="32"/>
          <w:lang w:bidi="ar"/>
        </w:rPr>
        <w:t>没有法律法规依据在政务服务前要求企业自行检测、检验、认证、鉴定、公证以及提供证明等；</w:t>
      </w:r>
      <w:r>
        <w:rPr>
          <w:rFonts w:hint="eastAsia" w:hAnsi="方正仿宋_GBK" w:eastAsia="方正仿宋_GBK"/>
          <w:kern w:val="2"/>
          <w:szCs w:val="32"/>
          <w:lang w:bidi="ar"/>
        </w:rPr>
        <w:t>（8）</w:t>
      </w:r>
      <w:r>
        <w:rPr>
          <w:rFonts w:hint="eastAsia" w:hAnsi="方正仿宋_GBK"/>
          <w:kern w:val="2"/>
          <w:szCs w:val="32"/>
          <w:lang w:bidi="ar"/>
        </w:rPr>
        <w:t>违法设立特许经营权，或未经公平竞争授予经营者特许经营权，限定经营、购买、使用特定经营者提供的商品和服务等。</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spacing w:val="0"/>
          <w:kern w:val="2"/>
          <w:lang w:bidi="ar"/>
        </w:rPr>
        <w:t>进度安排：</w:t>
      </w:r>
      <w:r>
        <w:rPr>
          <w:rFonts w:hint="eastAsia" w:hAnsi="方正仿宋_GBK"/>
          <w:spacing w:val="0"/>
          <w:kern w:val="2"/>
          <w:lang w:bidi="ar"/>
        </w:rPr>
        <w:t>2022年底前阶段性完成，持续推进</w:t>
      </w:r>
    </w:p>
    <w:p>
      <w:pPr>
        <w:adjustRightInd/>
        <w:spacing w:after="0" w:line="570" w:lineRule="exact"/>
        <w:ind w:firstLine="0" w:firstLineChars="0"/>
        <w:textAlignment w:val="auto"/>
        <w:rPr>
          <w:rFonts w:hint="eastAsia" w:hAnsi="方正仿宋_GBK"/>
          <w:spacing w:val="0"/>
          <w:kern w:val="2"/>
          <w:lang w:bidi="ar"/>
        </w:rPr>
      </w:pPr>
      <w:r>
        <w:rPr>
          <w:rFonts w:hint="eastAsia" w:hAnsi="方正仿宋_GBK" w:eastAsia="方正仿宋_GBK"/>
          <w:kern w:val="2"/>
          <w:szCs w:val="32"/>
          <w:lang w:bidi="ar"/>
        </w:rPr>
        <w:t>责任单位：</w:t>
      </w:r>
      <w:r>
        <w:rPr>
          <w:rFonts w:hint="eastAsia" w:hAnsi="方正仿宋_GBK"/>
          <w:spacing w:val="0"/>
          <w:kern w:val="2"/>
          <w:lang w:bidi="ar"/>
        </w:rPr>
        <w:t>市发展改革委、市市场监管局，市级有关部门，各区县</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（三十六）开展招投标领域专项清理。（1）</w:t>
      </w:r>
      <w:r>
        <w:rPr>
          <w:rFonts w:hint="eastAsia" w:hAnsi="方正仿宋_GBK"/>
          <w:kern w:val="2"/>
          <w:szCs w:val="32"/>
          <w:lang w:bidi="ar"/>
        </w:rPr>
        <w:t>重点清理在招标文件中违法限定或者指定特定的专利、商标、品牌、零部件、原产地、供应商；</w:t>
      </w:r>
      <w:r>
        <w:rPr>
          <w:rFonts w:hint="eastAsia" w:hAnsi="方正仿宋_GBK" w:eastAsia="方正仿宋_GBK"/>
          <w:kern w:val="2"/>
          <w:szCs w:val="32"/>
          <w:lang w:bidi="ar"/>
        </w:rPr>
        <w:t>（2）</w:t>
      </w:r>
      <w:r>
        <w:rPr>
          <w:rFonts w:hint="eastAsia" w:hAnsi="方正仿宋_GBK"/>
          <w:kern w:val="2"/>
          <w:szCs w:val="32"/>
          <w:lang w:bidi="ar"/>
        </w:rPr>
        <w:t>违法设定与招标项目具体特点和实际需要不相适应的资格、技术、商务条件等；</w:t>
      </w:r>
      <w:r>
        <w:rPr>
          <w:rFonts w:hint="eastAsia" w:hAnsi="方正仿宋_GBK" w:eastAsia="方正仿宋_GBK"/>
          <w:kern w:val="2"/>
          <w:szCs w:val="32"/>
          <w:lang w:bidi="ar"/>
        </w:rPr>
        <w:t>（3）</w:t>
      </w:r>
      <w:r>
        <w:rPr>
          <w:rFonts w:hint="eastAsia" w:hAnsi="方正仿宋_GBK"/>
          <w:kern w:val="2"/>
          <w:szCs w:val="32"/>
          <w:lang w:bidi="ar"/>
        </w:rPr>
        <w:t>违法限定投标人所在地、所有制形式、组织形式，或者设定其他不合理的条件以排斥、限制潜在投标人参与投标活动；</w:t>
      </w:r>
      <w:r>
        <w:rPr>
          <w:rFonts w:hint="eastAsia" w:hAnsi="方正仿宋_GBK" w:eastAsia="方正仿宋_GBK"/>
          <w:kern w:val="2"/>
          <w:szCs w:val="32"/>
          <w:lang w:bidi="ar"/>
        </w:rPr>
        <w:t>（4）</w:t>
      </w:r>
      <w:r>
        <w:rPr>
          <w:rFonts w:hint="eastAsia" w:hAnsi="方正仿宋_GBK"/>
          <w:kern w:val="2"/>
          <w:szCs w:val="32"/>
          <w:lang w:bidi="ar"/>
        </w:rPr>
        <w:t>限定投标保证金缴纳方式等。</w:t>
      </w:r>
    </w:p>
    <w:p>
      <w:pPr>
        <w:adjustRightInd/>
        <w:spacing w:after="0" w:line="570" w:lineRule="exact"/>
        <w:ind w:firstLine="0" w:firstLineChars="0"/>
        <w:textAlignment w:val="auto"/>
        <w:rPr>
          <w:rFonts w:hint="eastAsia" w:hAnsi="方正仿宋_GBK"/>
          <w:spacing w:val="0"/>
          <w:kern w:val="2"/>
          <w:lang w:bidi="ar"/>
        </w:rPr>
      </w:pPr>
      <w:r>
        <w:rPr>
          <w:rFonts w:hint="eastAsia" w:hAnsi="方正仿宋_GBK" w:eastAsia="方正仿宋_GBK"/>
          <w:spacing w:val="0"/>
          <w:kern w:val="2"/>
          <w:lang w:bidi="ar"/>
        </w:rPr>
        <w:t>进度安排：</w:t>
      </w:r>
      <w:r>
        <w:rPr>
          <w:rFonts w:hint="eastAsia" w:hAnsi="方正仿宋_GBK"/>
          <w:spacing w:val="0"/>
          <w:kern w:val="2"/>
          <w:lang w:bidi="ar"/>
        </w:rPr>
        <w:t>2022年底前阶段性完成，持续推进</w:t>
      </w:r>
    </w:p>
    <w:p>
      <w:pPr>
        <w:adjustRightInd/>
        <w:spacing w:after="0" w:line="570" w:lineRule="exact"/>
        <w:ind w:firstLine="0" w:firstLineChars="0"/>
        <w:textAlignment w:val="auto"/>
        <w:rPr>
          <w:rFonts w:hint="eastAsia" w:hAnsi="方正仿宋_GBK"/>
          <w:spacing w:val="0"/>
          <w:kern w:val="2"/>
          <w:lang w:bidi="ar"/>
        </w:rPr>
      </w:pPr>
      <w:r>
        <w:rPr>
          <w:rFonts w:hint="eastAsia" w:hAnsi="方正仿宋_GBK" w:eastAsia="方正仿宋_GBK"/>
          <w:kern w:val="2"/>
          <w:szCs w:val="32"/>
          <w:lang w:bidi="ar"/>
        </w:rPr>
        <w:t>责任单位：</w:t>
      </w:r>
      <w:r>
        <w:rPr>
          <w:rFonts w:hint="eastAsia" w:hAnsi="方正仿宋_GBK"/>
          <w:spacing w:val="0"/>
          <w:kern w:val="2"/>
          <w:lang w:bidi="ar"/>
        </w:rPr>
        <w:t>市公共资源交易监管局、市公安局等市级有关部门，各区县</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（三十七）开展政府采购领域专项清理</w:t>
      </w:r>
      <w:r>
        <w:rPr>
          <w:rFonts w:hint="eastAsia" w:hAnsi="方正仿宋_GBK"/>
          <w:kern w:val="2"/>
          <w:szCs w:val="32"/>
          <w:lang w:bidi="ar"/>
        </w:rPr>
        <w:t>。</w:t>
      </w:r>
      <w:r>
        <w:rPr>
          <w:rFonts w:hint="eastAsia" w:hAnsi="方正仿宋_GBK" w:eastAsia="方正仿宋_GBK"/>
          <w:kern w:val="2"/>
          <w:szCs w:val="32"/>
          <w:lang w:bidi="ar"/>
        </w:rPr>
        <w:t>（1）</w:t>
      </w:r>
      <w:r>
        <w:rPr>
          <w:rFonts w:hint="eastAsia" w:hAnsi="方正仿宋_GBK"/>
          <w:kern w:val="2"/>
          <w:szCs w:val="32"/>
          <w:lang w:bidi="ar"/>
        </w:rPr>
        <w:t>制定实施政府采购领域常见违法违规清单，重点清理政府采购活动中非必要条件排除和限制竞争的行为；</w:t>
      </w:r>
      <w:r>
        <w:rPr>
          <w:rFonts w:hint="eastAsia" w:hAnsi="方正仿宋_GBK" w:eastAsia="方正仿宋_GBK"/>
          <w:kern w:val="2"/>
          <w:szCs w:val="32"/>
          <w:lang w:bidi="ar"/>
        </w:rPr>
        <w:t>（2）</w:t>
      </w:r>
      <w:r>
        <w:rPr>
          <w:rFonts w:hint="eastAsia" w:hAnsi="方正仿宋_GBK"/>
          <w:kern w:val="2"/>
          <w:szCs w:val="32"/>
          <w:lang w:bidi="ar"/>
        </w:rPr>
        <w:t>以供应商的所有制形式、规模、成立年限、组织形式或者股权结构，对供应商实施差别待遇或者歧视待遇；</w:t>
      </w:r>
      <w:r>
        <w:rPr>
          <w:rFonts w:hint="eastAsia" w:hAnsi="方正仿宋_GBK" w:eastAsia="方正仿宋_GBK"/>
          <w:kern w:val="2"/>
          <w:szCs w:val="32"/>
          <w:lang w:bidi="ar"/>
        </w:rPr>
        <w:t>（3）</w:t>
      </w:r>
      <w:r>
        <w:rPr>
          <w:rFonts w:hint="eastAsia" w:hAnsi="方正仿宋_GBK"/>
          <w:kern w:val="2"/>
          <w:szCs w:val="32"/>
          <w:lang w:bidi="ar"/>
        </w:rPr>
        <w:t>通过入围方式设置备选库、名录库、资格库作为参与政府采购活动的资格条件，妨碍供应商进入政府采购市场；</w:t>
      </w:r>
      <w:r>
        <w:rPr>
          <w:rFonts w:hint="eastAsia" w:hAnsi="方正仿宋_GBK" w:eastAsia="方正仿宋_GBK"/>
          <w:kern w:val="2"/>
          <w:szCs w:val="32"/>
          <w:lang w:bidi="ar"/>
        </w:rPr>
        <w:t>（4）</w:t>
      </w:r>
      <w:r>
        <w:rPr>
          <w:rFonts w:hint="eastAsia" w:hAnsi="方正仿宋_GBK"/>
          <w:kern w:val="2"/>
          <w:szCs w:val="32"/>
          <w:lang w:bidi="ar"/>
        </w:rPr>
        <w:t>要求供应商进行不必要的登记、注册，或者要求设立分支机构，设置或者变相设置进入政府采购市场的障碍；</w:t>
      </w:r>
      <w:r>
        <w:rPr>
          <w:rFonts w:hint="eastAsia" w:hAnsi="方正仿宋_GBK" w:eastAsia="方正仿宋_GBK"/>
          <w:kern w:val="2"/>
          <w:szCs w:val="32"/>
          <w:lang w:bidi="ar"/>
        </w:rPr>
        <w:t>（5）</w:t>
      </w:r>
      <w:r>
        <w:rPr>
          <w:rFonts w:hint="eastAsia" w:hAnsi="方正仿宋_GBK"/>
          <w:kern w:val="2"/>
          <w:szCs w:val="32"/>
          <w:lang w:bidi="ar"/>
        </w:rPr>
        <w:t>要求供应商购买指定软件，作为参加电子化政府采购活动的条件等。</w:t>
      </w:r>
    </w:p>
    <w:p>
      <w:pPr>
        <w:widowControl/>
        <w:adjustRightInd/>
        <w:spacing w:after="0" w:line="570" w:lineRule="exact"/>
        <w:ind w:firstLine="0" w:firstLineChars="0"/>
        <w:jc w:val="left"/>
        <w:textAlignment w:val="auto"/>
        <w:rPr>
          <w:rFonts w:hint="eastAsia" w:hAnsi="方正仿宋_GBK" w:eastAsia="方正仿宋_GBK"/>
          <w:spacing w:val="0"/>
          <w:kern w:val="2"/>
          <w:szCs w:val="32"/>
          <w:lang w:bidi="ar"/>
        </w:rPr>
      </w:pPr>
      <w:r>
        <w:rPr>
          <w:rFonts w:hint="eastAsia" w:hAnsi="方正仿宋_GBK" w:eastAsia="方正仿宋_GBK"/>
          <w:spacing w:val="0"/>
          <w:kern w:val="2"/>
          <w:lang w:bidi="ar"/>
        </w:rPr>
        <w:t>进度安排：</w:t>
      </w:r>
      <w:r>
        <w:rPr>
          <w:rFonts w:hint="eastAsia" w:hAnsi="方正仿宋_GBK"/>
          <w:spacing w:val="0"/>
          <w:kern w:val="2"/>
          <w:lang w:bidi="ar"/>
        </w:rPr>
        <w:t>2022年底前阶段性完成，持续推进</w:t>
      </w:r>
    </w:p>
    <w:p>
      <w:pPr>
        <w:adjustRightInd/>
        <w:spacing w:after="0" w:line="570" w:lineRule="exact"/>
        <w:ind w:firstLine="0" w:firstLineChars="0"/>
        <w:textAlignment w:val="auto"/>
        <w:rPr>
          <w:rFonts w:hint="eastAsia" w:hAnsi="方正仿宋_GBK"/>
          <w:spacing w:val="0"/>
          <w:kern w:val="2"/>
          <w:lang w:bidi="ar"/>
        </w:rPr>
      </w:pPr>
      <w:r>
        <w:rPr>
          <w:rFonts w:hint="eastAsia" w:hAnsi="方正仿宋_GBK" w:eastAsia="方正仿宋_GBK"/>
          <w:kern w:val="2"/>
          <w:szCs w:val="32"/>
          <w:lang w:bidi="ar"/>
        </w:rPr>
        <w:t>责任单位：</w:t>
      </w:r>
      <w:r>
        <w:rPr>
          <w:rFonts w:hint="eastAsia" w:hAnsi="方正仿宋_GBK"/>
          <w:spacing w:val="0"/>
          <w:kern w:val="2"/>
          <w:lang w:bidi="ar"/>
        </w:rPr>
        <w:t>市财政局，市级有关部门，各区县</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七、建立健全推进落实机制</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（三十八）建立协同联动机制</w:t>
      </w:r>
      <w:r>
        <w:rPr>
          <w:rFonts w:hint="eastAsia" w:hAnsi="方正仿宋_GBK"/>
          <w:kern w:val="2"/>
          <w:szCs w:val="32"/>
          <w:lang w:bidi="ar"/>
        </w:rPr>
        <w:t>。</w:t>
      </w:r>
      <w:r>
        <w:rPr>
          <w:rFonts w:hint="eastAsia" w:hAnsi="方正仿宋_GBK" w:eastAsia="方正仿宋_GBK"/>
          <w:kern w:val="2"/>
          <w:szCs w:val="32"/>
          <w:lang w:bidi="ar"/>
        </w:rPr>
        <w:t>（1）</w:t>
      </w:r>
      <w:r>
        <w:rPr>
          <w:rFonts w:hint="eastAsia" w:hAnsi="方正仿宋_GBK"/>
          <w:kern w:val="2"/>
          <w:szCs w:val="32"/>
          <w:lang w:bidi="ar"/>
        </w:rPr>
        <w:t>全面对标国家统一制度规则、全国统一大市场建设标准指南等，完善制度体系，对接加强市场基础设施和平台建设，积极争取改革先行先试。</w:t>
      </w:r>
      <w:r>
        <w:rPr>
          <w:rFonts w:hint="eastAsia" w:hAnsi="方正仿宋_GBK" w:eastAsia="方正仿宋_GBK"/>
          <w:kern w:val="2"/>
          <w:szCs w:val="32"/>
          <w:lang w:bidi="ar"/>
        </w:rPr>
        <w:t>（2）</w:t>
      </w:r>
      <w:r>
        <w:rPr>
          <w:rFonts w:hint="eastAsia" w:hAnsi="方正仿宋_GBK"/>
          <w:kern w:val="2"/>
          <w:szCs w:val="32"/>
          <w:lang w:bidi="ar"/>
        </w:rPr>
        <w:t>加快推进营商环境创新试点城市建设，着力营造市场化法治化国际化营商环境。</w:t>
      </w:r>
      <w:r>
        <w:rPr>
          <w:rFonts w:hint="eastAsia" w:hAnsi="方正仿宋_GBK" w:eastAsia="方正仿宋_GBK"/>
          <w:kern w:val="2"/>
          <w:szCs w:val="32"/>
          <w:lang w:bidi="ar"/>
        </w:rPr>
        <w:t>（3）</w:t>
      </w:r>
      <w:r>
        <w:rPr>
          <w:rFonts w:hint="eastAsia" w:hAnsi="方正仿宋_GBK"/>
          <w:kern w:val="2"/>
          <w:szCs w:val="32"/>
          <w:lang w:bidi="ar"/>
        </w:rPr>
        <w:t>加强市、区县改革协同，发展改革、市场监管、商务等有关部门要建立部门协调机制，加大统筹协调力度，强化跟踪督促，推动各项任务落实到位。</w:t>
      </w:r>
    </w:p>
    <w:p>
      <w:pPr>
        <w:widowControl/>
        <w:adjustRightInd/>
        <w:spacing w:after="0" w:line="570" w:lineRule="exact"/>
        <w:ind w:firstLine="0" w:firstLineChars="0"/>
        <w:jc w:val="left"/>
        <w:textAlignment w:val="auto"/>
        <w:rPr>
          <w:rFonts w:hint="eastAsia" w:hAnsi="方正仿宋_GBK"/>
          <w:spacing w:val="0"/>
          <w:kern w:val="2"/>
          <w:lang w:bidi="ar"/>
        </w:rPr>
      </w:pPr>
      <w:r>
        <w:rPr>
          <w:rFonts w:hint="eastAsia" w:hAnsi="方正仿宋_GBK" w:eastAsia="方正仿宋_GBK"/>
          <w:spacing w:val="0"/>
          <w:kern w:val="2"/>
          <w:lang w:bidi="ar"/>
        </w:rPr>
        <w:t>进度安排：</w:t>
      </w:r>
      <w:r>
        <w:rPr>
          <w:rFonts w:hint="eastAsia" w:hAnsi="方正仿宋_GBK"/>
          <w:spacing w:val="0"/>
          <w:kern w:val="2"/>
          <w:lang w:bidi="ar"/>
        </w:rPr>
        <w:t>持续推进</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责任单位：</w:t>
      </w:r>
      <w:r>
        <w:rPr>
          <w:rFonts w:hint="eastAsia" w:hAnsi="方正仿宋_GBK"/>
          <w:spacing w:val="0"/>
          <w:kern w:val="2"/>
          <w:lang w:bidi="ar"/>
        </w:rPr>
        <w:t>市发展改革委、市市场监管局、市商务委，市级有关部门，各区县</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（三十九）健全清查整改机制。（1）</w:t>
      </w:r>
      <w:r>
        <w:rPr>
          <w:rFonts w:hint="eastAsia" w:hAnsi="方正仿宋_GBK"/>
          <w:kern w:val="2"/>
          <w:szCs w:val="32"/>
          <w:lang w:bidi="ar"/>
        </w:rPr>
        <w:t>按照中央统一部署和“四个专项清理”要求，结合国家动态发布的不当干预全国统一大市场建设问题清单，持续开展自查清理，建立问题台账，逐项整改销号，各区县各部门将清理整改情况报各专项清理牵头部门及市发展改革委。</w:t>
      </w:r>
      <w:r>
        <w:rPr>
          <w:rFonts w:hint="eastAsia" w:hAnsi="方正仿宋_GBK" w:eastAsia="方正仿宋_GBK"/>
          <w:kern w:val="2"/>
          <w:szCs w:val="32"/>
          <w:lang w:bidi="ar"/>
        </w:rPr>
        <w:t>（2）</w:t>
      </w:r>
      <w:r>
        <w:rPr>
          <w:rFonts w:hint="eastAsia" w:hAnsi="方正仿宋_GBK"/>
          <w:kern w:val="2"/>
          <w:szCs w:val="32"/>
          <w:lang w:bidi="ar"/>
        </w:rPr>
        <w:t>建立典型案例通报约谈制度，对专项清理启动后继续发生或者清理发现但整改不及时的区县和部门进行通报和约谈。</w:t>
      </w:r>
    </w:p>
    <w:p>
      <w:pPr>
        <w:widowControl/>
        <w:adjustRightInd/>
        <w:spacing w:after="0" w:line="570" w:lineRule="exact"/>
        <w:ind w:firstLine="0" w:firstLineChars="0"/>
        <w:jc w:val="left"/>
        <w:textAlignment w:val="auto"/>
        <w:rPr>
          <w:rFonts w:hint="eastAsia" w:hAnsi="方正仿宋_GBK"/>
          <w:spacing w:val="0"/>
          <w:kern w:val="2"/>
          <w:lang w:bidi="ar"/>
        </w:rPr>
      </w:pPr>
      <w:r>
        <w:rPr>
          <w:rFonts w:hint="eastAsia" w:hAnsi="方正仿宋_GBK" w:eastAsia="方正仿宋_GBK"/>
          <w:spacing w:val="0"/>
          <w:kern w:val="2"/>
          <w:lang w:bidi="ar"/>
        </w:rPr>
        <w:t>进度安排：</w:t>
      </w:r>
      <w:r>
        <w:rPr>
          <w:rFonts w:hint="eastAsia" w:hAnsi="方正仿宋_GBK"/>
          <w:spacing w:val="0"/>
          <w:kern w:val="2"/>
          <w:lang w:bidi="ar"/>
        </w:rPr>
        <w:t>持续推进</w:t>
      </w:r>
    </w:p>
    <w:p>
      <w:pPr>
        <w:adjustRightInd/>
        <w:spacing w:after="0" w:line="570" w:lineRule="exact"/>
        <w:ind w:firstLine="0" w:firstLineChars="0"/>
        <w:textAlignment w:val="auto"/>
        <w:rPr>
          <w:rFonts w:hint="eastAsia" w:hAnsi="方正仿宋_GBK"/>
          <w:spacing w:val="0"/>
          <w:kern w:val="2"/>
          <w:lang w:bidi="ar"/>
        </w:rPr>
      </w:pPr>
      <w:r>
        <w:rPr>
          <w:rFonts w:hint="eastAsia" w:hAnsi="方正仿宋_GBK" w:eastAsia="方正仿宋_GBK"/>
          <w:kern w:val="2"/>
          <w:szCs w:val="32"/>
          <w:lang w:bidi="ar"/>
        </w:rPr>
        <w:t>责任单位：</w:t>
      </w:r>
      <w:r>
        <w:rPr>
          <w:rFonts w:hint="eastAsia" w:hAnsi="方正仿宋_GBK"/>
          <w:spacing w:val="0"/>
          <w:kern w:val="2"/>
          <w:lang w:bidi="ar"/>
        </w:rPr>
        <w:t>市市场监管局、市发展改革委，市级有关部门，各区县</w:t>
      </w:r>
    </w:p>
    <w:p>
      <w:pPr>
        <w:adjustRightInd/>
        <w:spacing w:after="0" w:line="570" w:lineRule="exact"/>
        <w:ind w:firstLine="0" w:firstLineChars="0"/>
        <w:textAlignment w:val="auto"/>
        <w:rPr>
          <w:rFonts w:hint="eastAsia" w:hAnsi="方正仿宋_GBK" w:eastAsia="方正仿宋_GBK"/>
          <w:kern w:val="2"/>
          <w:szCs w:val="32"/>
          <w:lang w:bidi="ar"/>
        </w:rPr>
      </w:pPr>
      <w:r>
        <w:rPr>
          <w:rFonts w:hint="eastAsia" w:hAnsi="方正仿宋_GBK" w:eastAsia="方正仿宋_GBK"/>
          <w:kern w:val="2"/>
          <w:szCs w:val="32"/>
          <w:lang w:bidi="ar"/>
        </w:rPr>
        <w:t>（四十）完善区域合作机制。（1）</w:t>
      </w:r>
      <w:r>
        <w:rPr>
          <w:rFonts w:hint="eastAsia" w:hAnsi="方正仿宋_GBK"/>
          <w:kern w:val="2"/>
          <w:szCs w:val="32"/>
          <w:lang w:bidi="ar"/>
        </w:rPr>
        <w:t>在维护全国统一大市场前提下，联动四川共同推进市场规则制度统一、市场设施高标准联通、市场监管公平统一，着力打破区域壁垒和市场分割，促进商品和要素资源畅通流动，加快成渝地区双城经济圈市场一体化建设。</w:t>
      </w:r>
      <w:r>
        <w:rPr>
          <w:rFonts w:hint="eastAsia" w:hAnsi="方正仿宋_GBK" w:eastAsia="方正仿宋_GBK"/>
          <w:kern w:val="2"/>
          <w:szCs w:val="32"/>
          <w:lang w:bidi="ar"/>
        </w:rPr>
        <w:t>（2）</w:t>
      </w:r>
      <w:r>
        <w:rPr>
          <w:rFonts w:hint="eastAsia" w:hAnsi="方正仿宋_GBK"/>
          <w:kern w:val="2"/>
          <w:lang w:bidi="ar"/>
        </w:rPr>
        <w:t>深化与东部地区交流合作，加强与京津冀、长三角、粤港澳大湾区的战略对接，更好发挥西部陆海新通道连接西部地区和东盟市场的桥梁纽带作用，加强“一带一路”国际产业合作。</w:t>
      </w:r>
    </w:p>
    <w:p>
      <w:pPr>
        <w:widowControl/>
        <w:adjustRightInd/>
        <w:spacing w:after="0" w:line="570" w:lineRule="exact"/>
        <w:ind w:firstLine="0" w:firstLineChars="0"/>
        <w:jc w:val="left"/>
        <w:textAlignment w:val="auto"/>
        <w:rPr>
          <w:rFonts w:hint="eastAsia" w:hAnsi="方正仿宋_GBK" w:eastAsia="方正仿宋_GBK"/>
          <w:spacing w:val="0"/>
          <w:kern w:val="2"/>
          <w:szCs w:val="32"/>
          <w:lang w:bidi="ar"/>
        </w:rPr>
      </w:pPr>
      <w:r>
        <w:rPr>
          <w:rFonts w:hint="eastAsia" w:hAnsi="方正仿宋_GBK" w:eastAsia="方正仿宋_GBK"/>
          <w:spacing w:val="0"/>
          <w:kern w:val="2"/>
          <w:lang w:bidi="ar"/>
        </w:rPr>
        <w:t>进度安排：</w:t>
      </w:r>
      <w:r>
        <w:rPr>
          <w:rFonts w:hint="eastAsia" w:hAnsi="方正仿宋_GBK"/>
          <w:spacing w:val="0"/>
          <w:kern w:val="2"/>
          <w:lang w:bidi="ar"/>
        </w:rPr>
        <w:t>持续推进</w:t>
      </w:r>
    </w:p>
    <w:p>
      <w:pPr>
        <w:adjustRightInd/>
        <w:spacing w:after="0" w:line="570" w:lineRule="exact"/>
        <w:ind w:firstLine="0" w:firstLineChars="0"/>
        <w:textAlignment w:val="auto"/>
        <w:rPr>
          <w:rFonts w:hint="eastAsia" w:hAnsi="方正仿宋_GBK"/>
          <w:kern w:val="2"/>
          <w:lang w:bidi="ar"/>
        </w:rPr>
      </w:pPr>
      <w:r>
        <w:rPr>
          <w:rFonts w:hint="eastAsia" w:hAnsi="方正仿宋_GBK" w:eastAsia="方正仿宋_GBK"/>
          <w:kern w:val="2"/>
          <w:szCs w:val="32"/>
          <w:lang w:bidi="ar"/>
        </w:rPr>
        <w:t>责任单位：</w:t>
      </w:r>
      <w:r>
        <w:rPr>
          <w:rFonts w:hint="eastAsia" w:hAnsi="方正仿宋_GBK"/>
          <w:spacing w:val="0"/>
          <w:kern w:val="2"/>
          <w:lang w:bidi="ar"/>
        </w:rPr>
        <w:t>市发展改革委、市市场监管局、市商务委、市政府口岸物流办，市级有关部门</w:t>
      </w:r>
    </w:p>
    <w:p>
      <w:pPr>
        <w:adjustRightInd/>
        <w:spacing w:after="0" w:line="570" w:lineRule="exact"/>
        <w:ind w:firstLine="0" w:firstLineChars="0"/>
        <w:textAlignment w:val="auto"/>
        <w:rPr>
          <w:rFonts w:hint="eastAsia" w:hAnsi="方正仿宋_GBK"/>
          <w:kern w:val="2"/>
          <w:lang w:bidi="ar"/>
        </w:rPr>
      </w:pPr>
    </w:p>
    <w:p>
      <w:pPr>
        <w:adjustRightInd/>
        <w:spacing w:after="0" w:line="570" w:lineRule="exact"/>
        <w:ind w:firstLine="0" w:firstLineChars="0"/>
        <w:textAlignment w:val="auto"/>
        <w:rPr>
          <w:rFonts w:hint="eastAsia" w:hAnsi="方正仿宋_GBK"/>
          <w:kern w:val="2"/>
          <w:lang w:bidi="ar"/>
        </w:rPr>
      </w:pPr>
    </w:p>
    <w:p>
      <w:pPr>
        <w:adjustRightInd/>
        <w:spacing w:after="0" w:line="570" w:lineRule="exact"/>
        <w:ind w:firstLine="0" w:firstLineChars="0"/>
        <w:textAlignment w:val="auto"/>
        <w:rPr>
          <w:rFonts w:hint="eastAsia" w:hAnsi="方正仿宋_GBK"/>
          <w:kern w:val="2"/>
          <w:lang w:bidi="ar"/>
        </w:rPr>
      </w:pPr>
    </w:p>
    <w:p>
      <w:pPr>
        <w:adjustRightInd/>
        <w:spacing w:line="570" w:lineRule="exact"/>
        <w:textAlignment w:val="auto"/>
        <w:rPr>
          <w:rFonts w:hint="eastAsia" w:hAnsi="方正仿宋_GBK"/>
          <w:kern w:val="2"/>
          <w:lang w:bidi="ar"/>
        </w:rPr>
      </w:pPr>
    </w:p>
    <w:p>
      <w:pPr>
        <w:adjustRightInd/>
        <w:spacing w:line="570" w:lineRule="exact"/>
        <w:textAlignment w:val="auto"/>
        <w:rPr>
          <w:rFonts w:hint="eastAsia" w:hAnsi="方正仿宋_GBK"/>
          <w:kern w:val="2"/>
          <w:lang w:bidi="ar"/>
        </w:rPr>
      </w:pPr>
    </w:p>
    <w:p>
      <w:pPr>
        <w:adjustRightInd/>
        <w:spacing w:line="570" w:lineRule="exact"/>
        <w:textAlignment w:val="auto"/>
        <w:rPr>
          <w:rFonts w:hint="eastAsia" w:hAnsi="方正仿宋_GBK"/>
          <w:kern w:val="2"/>
          <w:lang w:bidi="ar"/>
        </w:rPr>
      </w:pPr>
    </w:p>
    <w:p>
      <w:pPr>
        <w:adjustRightInd/>
        <w:spacing w:line="570" w:lineRule="exact"/>
        <w:textAlignment w:val="auto"/>
        <w:rPr>
          <w:rFonts w:hint="eastAsia" w:hAnsi="方正仿宋_GBK"/>
          <w:kern w:val="2"/>
          <w:lang w:bidi="ar"/>
        </w:rPr>
      </w:pPr>
    </w:p>
    <w:p>
      <w:pPr>
        <w:adjustRightInd/>
        <w:spacing w:line="570" w:lineRule="exact"/>
        <w:textAlignment w:val="auto"/>
        <w:rPr>
          <w:rFonts w:hint="eastAsia" w:hAnsi="方正仿宋_GBK"/>
          <w:kern w:val="2"/>
          <w:lang w:bidi="ar"/>
        </w:rPr>
      </w:pPr>
    </w:p>
    <w:p>
      <w:pPr>
        <w:adjustRightInd/>
        <w:spacing w:line="570" w:lineRule="exact"/>
        <w:textAlignment w:val="auto"/>
        <w:rPr>
          <w:rFonts w:hint="eastAsia" w:ascii="Times New Roman" w:hAnsi="方正仿宋_GBK" w:cs="Times New Roman"/>
          <w:kern w:val="2"/>
          <w:lang w:bidi="ar"/>
        </w:rPr>
      </w:pPr>
    </w:p>
    <w:p>
      <w:pPr>
        <w:adjustRightInd/>
        <w:spacing w:line="570" w:lineRule="exact"/>
        <w:textAlignment w:val="auto"/>
        <w:rPr>
          <w:rFonts w:hint="eastAsia" w:hAnsi="方正仿宋_GBK"/>
          <w:kern w:val="2"/>
          <w:lang w:bidi="ar"/>
        </w:rPr>
      </w:pPr>
    </w:p>
    <w:p>
      <w:pPr>
        <w:spacing w:line="460" w:lineRule="exact"/>
        <w:rPr>
          <w:rFonts w:hint="eastAsia" w:ascii="Times New Roman" w:hAnsi="Times New Roman" w:eastAsia="方正仿宋_GBK"/>
          <w:sz w:val="28"/>
          <w:szCs w:val="28"/>
          <w:u w:val="single"/>
        </w:rPr>
      </w:pP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u w:val="single"/>
        </w:rPr>
        <w:t xml:space="preserve">                           </w:t>
      </w: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eastAsia="zh-CN"/>
        </w:rPr>
        <w:t>　　</w:t>
      </w:r>
      <w:r>
        <w:rPr>
          <w:rFonts w:hint="eastAsia" w:ascii="Times New Roman" w:hAnsi="Times New Roman" w:eastAsia="方正仿宋_GBK"/>
          <w:sz w:val="28"/>
          <w:szCs w:val="28"/>
          <w:u w:val="single"/>
        </w:rPr>
        <w:t xml:space="preserve"> </w:t>
      </w:r>
    </w:p>
    <w:p>
      <w:pPr>
        <w:spacing w:line="460" w:lineRule="exact"/>
        <w:rPr>
          <w:rFonts w:hint="eastAsia" w:ascii="Times New Roman" w:hAnsi="Times New Roman" w:eastAsia="方正仿宋_GBK"/>
          <w:sz w:val="28"/>
          <w:szCs w:val="28"/>
          <w:u w:val="single"/>
        </w:rPr>
      </w:pPr>
      <w:r>
        <w:rPr>
          <w:rFonts w:hint="eastAsia" w:ascii="Times New Roman" w:hAnsi="方正仿宋_GBK" w:cs="Times New Roman"/>
          <w:kern w:val="2"/>
          <w:sz w:val="32"/>
          <w:szCs w:val="32"/>
          <w:u w:val="single"/>
          <w:lang w:val="en-US" w:eastAsia="zh-CN" w:bidi="ar"/>
        </w:rPr>
        <w:t>重庆市发展和改革委员会办公室</w:t>
      </w: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eastAsia="zh-CN"/>
        </w:rPr>
        <w:t>　</w:t>
      </w:r>
      <w:r>
        <w:rPr>
          <w:rFonts w:ascii="Times New Roman" w:hAnsi="Times New Roman" w:eastAsia="方正仿宋_GBK"/>
          <w:sz w:val="28"/>
          <w:szCs w:val="28"/>
          <w:u w:val="single"/>
        </w:rPr>
        <w:t xml:space="preserve"> 202</w:t>
      </w:r>
      <w:r>
        <w:rPr>
          <w:rFonts w:hint="eastAsia" w:ascii="Times New Roman" w:hAnsi="Times New Roman" w:eastAsia="方正仿宋_GBK"/>
          <w:sz w:val="28"/>
          <w:szCs w:val="28"/>
          <w:u w:val="single"/>
          <w:lang w:val="en-US" w:eastAsia="zh-CN"/>
        </w:rPr>
        <w:t>2</w:t>
      </w:r>
      <w:r>
        <w:rPr>
          <w:rFonts w:ascii="Times New Roman" w:hAnsi="Times New Roman" w:eastAsia="方正仿宋_GBK"/>
          <w:sz w:val="28"/>
          <w:szCs w:val="28"/>
          <w:u w:val="single"/>
        </w:rPr>
        <w:t>年</w:t>
      </w:r>
      <w:r>
        <w:rPr>
          <w:rFonts w:hint="eastAsia" w:ascii="Times New Roman" w:hAnsi="Times New Roman" w:eastAsia="方正仿宋_GBK"/>
          <w:sz w:val="28"/>
          <w:szCs w:val="28"/>
          <w:u w:val="single"/>
          <w:lang w:val="en-US" w:eastAsia="zh-CN"/>
        </w:rPr>
        <w:t>8</w:t>
      </w:r>
      <w:r>
        <w:rPr>
          <w:rFonts w:ascii="Times New Roman" w:hAnsi="Times New Roman" w:eastAsia="方正仿宋_GBK"/>
          <w:sz w:val="28"/>
          <w:szCs w:val="28"/>
          <w:u w:val="single"/>
        </w:rPr>
        <w:t>月</w:t>
      </w:r>
      <w:r>
        <w:rPr>
          <w:rFonts w:hint="eastAsia" w:ascii="Times New Roman" w:hAnsi="Times New Roman"/>
          <w:sz w:val="28"/>
          <w:szCs w:val="28"/>
          <w:u w:val="single"/>
          <w:lang w:val="en-US" w:eastAsia="zh-CN"/>
        </w:rPr>
        <w:t>3</w:t>
      </w:r>
      <w:r>
        <w:rPr>
          <w:rFonts w:ascii="Times New Roman" w:hAnsi="Times New Roman" w:eastAsia="方正仿宋_GBK"/>
          <w:sz w:val="28"/>
          <w:szCs w:val="28"/>
          <w:u w:val="single"/>
        </w:rPr>
        <w:t>日印发</w:t>
      </w:r>
      <w:r>
        <w:rPr>
          <w:rFonts w:hint="eastAsia" w:ascii="Times New Roman" w:hAnsi="Times New Roman" w:eastAsia="方正仿宋_GBK"/>
          <w:sz w:val="28"/>
          <w:szCs w:val="28"/>
          <w:u w:val="single"/>
        </w:rPr>
        <w:t xml:space="preserve">  </w:t>
      </w:r>
    </w:p>
    <w:p>
      <w:pPr>
        <w:adjustRightInd/>
        <w:spacing w:line="570" w:lineRule="exact"/>
        <w:textAlignment w:val="auto"/>
        <w:rPr>
          <w:rFonts w:hint="eastAsia" w:hAnsi="方正仿宋_GBK"/>
          <w:kern w:val="2"/>
          <w:u w:val="single"/>
          <w:lang w:val="en-US" w:eastAsia="zh-CN" w:bidi="ar"/>
        </w:rPr>
      </w:pPr>
    </w:p>
    <w:sectPr>
      <w:footerReference r:id="rId5" w:type="default"/>
      <w:footerReference r:id="rId6" w:type="even"/>
      <w:pgSz w:w="11906" w:h="16838"/>
      <w:pgMar w:top="2098" w:right="1531" w:bottom="1984" w:left="1531" w:header="851" w:footer="1417" w:gutter="0"/>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wNjQ0ZTM5NDljYWJhZDc5NzUzYzUwMGQ3OGNiMmIifQ=="/>
  </w:docVars>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377D7"/>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4098A"/>
    <w:rsid w:val="00850D3F"/>
    <w:rsid w:val="00853F77"/>
    <w:rsid w:val="00860A47"/>
    <w:rsid w:val="00891C35"/>
    <w:rsid w:val="008935D1"/>
    <w:rsid w:val="008B74C0"/>
    <w:rsid w:val="009048D5"/>
    <w:rsid w:val="00904AFE"/>
    <w:rsid w:val="0092122C"/>
    <w:rsid w:val="009220DF"/>
    <w:rsid w:val="00965CCB"/>
    <w:rsid w:val="00972E17"/>
    <w:rsid w:val="00974193"/>
    <w:rsid w:val="009A5EB0"/>
    <w:rsid w:val="00A31BA7"/>
    <w:rsid w:val="00A40C10"/>
    <w:rsid w:val="00A443C1"/>
    <w:rsid w:val="00A955CD"/>
    <w:rsid w:val="00B1777D"/>
    <w:rsid w:val="00B51CD6"/>
    <w:rsid w:val="00B73014"/>
    <w:rsid w:val="00B833D8"/>
    <w:rsid w:val="00BF0A53"/>
    <w:rsid w:val="00C464A8"/>
    <w:rsid w:val="00C6762A"/>
    <w:rsid w:val="00CC0711"/>
    <w:rsid w:val="00CD4D55"/>
    <w:rsid w:val="00D01740"/>
    <w:rsid w:val="00D7295A"/>
    <w:rsid w:val="00D8670F"/>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930C1"/>
    <w:rsid w:val="00FA4D84"/>
    <w:rsid w:val="00FA4DBD"/>
    <w:rsid w:val="01A06D82"/>
    <w:rsid w:val="01B25A4D"/>
    <w:rsid w:val="02F70D3E"/>
    <w:rsid w:val="03505C66"/>
    <w:rsid w:val="040A2CF3"/>
    <w:rsid w:val="06624ABD"/>
    <w:rsid w:val="06BD5DFB"/>
    <w:rsid w:val="0726180D"/>
    <w:rsid w:val="07DE0AAA"/>
    <w:rsid w:val="0CF02DEE"/>
    <w:rsid w:val="0DF90060"/>
    <w:rsid w:val="12080E07"/>
    <w:rsid w:val="12C81AA5"/>
    <w:rsid w:val="14B4083D"/>
    <w:rsid w:val="1578613D"/>
    <w:rsid w:val="172C47FA"/>
    <w:rsid w:val="193D01E0"/>
    <w:rsid w:val="19D67892"/>
    <w:rsid w:val="1BFB0DD4"/>
    <w:rsid w:val="1D2027D0"/>
    <w:rsid w:val="1D4E12BA"/>
    <w:rsid w:val="1DCC309C"/>
    <w:rsid w:val="1F4C00ED"/>
    <w:rsid w:val="1F5C3FAB"/>
    <w:rsid w:val="21380A48"/>
    <w:rsid w:val="226117B6"/>
    <w:rsid w:val="23445D57"/>
    <w:rsid w:val="23570372"/>
    <w:rsid w:val="246102B6"/>
    <w:rsid w:val="256B156C"/>
    <w:rsid w:val="25B27047"/>
    <w:rsid w:val="25E707B1"/>
    <w:rsid w:val="26D83835"/>
    <w:rsid w:val="278C389C"/>
    <w:rsid w:val="27F5397D"/>
    <w:rsid w:val="28FE2577"/>
    <w:rsid w:val="2A047719"/>
    <w:rsid w:val="2A5C7555"/>
    <w:rsid w:val="2AFF29AF"/>
    <w:rsid w:val="2B6540BB"/>
    <w:rsid w:val="2B6F62D5"/>
    <w:rsid w:val="2B8704A8"/>
    <w:rsid w:val="2BB764DC"/>
    <w:rsid w:val="2C077995"/>
    <w:rsid w:val="2D124370"/>
    <w:rsid w:val="2D4B6353"/>
    <w:rsid w:val="2D5A53E5"/>
    <w:rsid w:val="2D8017AD"/>
    <w:rsid w:val="2FCC6F2B"/>
    <w:rsid w:val="30C82935"/>
    <w:rsid w:val="34853B4C"/>
    <w:rsid w:val="34D41403"/>
    <w:rsid w:val="359D56FF"/>
    <w:rsid w:val="35EF5E14"/>
    <w:rsid w:val="36227493"/>
    <w:rsid w:val="363A42AF"/>
    <w:rsid w:val="37083883"/>
    <w:rsid w:val="38146403"/>
    <w:rsid w:val="38B97D28"/>
    <w:rsid w:val="3A1F5203"/>
    <w:rsid w:val="3A80704A"/>
    <w:rsid w:val="3B11613A"/>
    <w:rsid w:val="3D4A3268"/>
    <w:rsid w:val="3D584BA2"/>
    <w:rsid w:val="402E288B"/>
    <w:rsid w:val="417E794A"/>
    <w:rsid w:val="42552DB0"/>
    <w:rsid w:val="42F30691"/>
    <w:rsid w:val="43C71A8C"/>
    <w:rsid w:val="4407632C"/>
    <w:rsid w:val="45A007E6"/>
    <w:rsid w:val="45E47B16"/>
    <w:rsid w:val="474B29D4"/>
    <w:rsid w:val="47651902"/>
    <w:rsid w:val="477B47A9"/>
    <w:rsid w:val="47EF7803"/>
    <w:rsid w:val="47FC4433"/>
    <w:rsid w:val="4A30398A"/>
    <w:rsid w:val="4ABF170F"/>
    <w:rsid w:val="4AC07792"/>
    <w:rsid w:val="4CE7092E"/>
    <w:rsid w:val="4E252DB9"/>
    <w:rsid w:val="5073301F"/>
    <w:rsid w:val="52687B72"/>
    <w:rsid w:val="53456529"/>
    <w:rsid w:val="53D17DBD"/>
    <w:rsid w:val="545424E6"/>
    <w:rsid w:val="54E47F11"/>
    <w:rsid w:val="55835057"/>
    <w:rsid w:val="56A620C5"/>
    <w:rsid w:val="58C56AF2"/>
    <w:rsid w:val="58D92506"/>
    <w:rsid w:val="59A33FA9"/>
    <w:rsid w:val="5AF01470"/>
    <w:rsid w:val="5BC50A62"/>
    <w:rsid w:val="5C5A14AA"/>
    <w:rsid w:val="60050F24"/>
    <w:rsid w:val="60343BAD"/>
    <w:rsid w:val="60BE791B"/>
    <w:rsid w:val="61561366"/>
    <w:rsid w:val="61F021E8"/>
    <w:rsid w:val="63576530"/>
    <w:rsid w:val="6383212C"/>
    <w:rsid w:val="65E0558A"/>
    <w:rsid w:val="6712451C"/>
    <w:rsid w:val="67966EFB"/>
    <w:rsid w:val="67DC69C7"/>
    <w:rsid w:val="68246BFD"/>
    <w:rsid w:val="68B32888"/>
    <w:rsid w:val="68E8683A"/>
    <w:rsid w:val="694D661D"/>
    <w:rsid w:val="696E3491"/>
    <w:rsid w:val="69AF0748"/>
    <w:rsid w:val="6AFF5937"/>
    <w:rsid w:val="6C3D2854"/>
    <w:rsid w:val="6D9E4803"/>
    <w:rsid w:val="6E163EDE"/>
    <w:rsid w:val="6FC11813"/>
    <w:rsid w:val="707115DC"/>
    <w:rsid w:val="726C3FD1"/>
    <w:rsid w:val="73815F40"/>
    <w:rsid w:val="73DA5C8B"/>
    <w:rsid w:val="75B3464C"/>
    <w:rsid w:val="769E5DCD"/>
    <w:rsid w:val="76B13D52"/>
    <w:rsid w:val="76B77724"/>
    <w:rsid w:val="772269FE"/>
    <w:rsid w:val="7763329E"/>
    <w:rsid w:val="78D21D5D"/>
    <w:rsid w:val="7A081EDB"/>
    <w:rsid w:val="7A7973A8"/>
    <w:rsid w:val="7B0C0998"/>
    <w:rsid w:val="7BAA0A78"/>
    <w:rsid w:val="7C5031A0"/>
    <w:rsid w:val="7E707F48"/>
    <w:rsid w:val="7EFE1DAF"/>
    <w:rsid w:val="7F7556BB"/>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60"/>
      <w:ind w:left="100" w:leftChars="100" w:right="100" w:rightChars="100"/>
    </w:pPr>
    <w:rPr>
      <w:sz w:val="21"/>
      <w:szCs w:val="22"/>
    </w:rPr>
  </w:style>
  <w:style w:type="paragraph" w:styleId="3">
    <w:name w:val="index 7"/>
    <w:basedOn w:val="1"/>
    <w:next w:val="1"/>
    <w:qFormat/>
    <w:uiPriority w:val="0"/>
    <w:pPr>
      <w:spacing w:after="160"/>
      <w:ind w:left="2520"/>
    </w:pPr>
    <w:rPr>
      <w:rFonts w:eastAsia="宋体"/>
    </w:r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Char"/>
    <w:link w:val="5"/>
    <w:qFormat/>
    <w:uiPriority w:val="99"/>
    <w:rPr>
      <w:rFonts w:eastAsia="方正仿宋_GBK"/>
      <w:sz w:val="18"/>
      <w:szCs w:val="18"/>
    </w:rPr>
  </w:style>
  <w:style w:type="character" w:customStyle="1" w:styleId="12">
    <w:name w:val="页眉 Char"/>
    <w:link w:val="6"/>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24</Pages>
  <Words>10830</Words>
  <Characters>10900</Characters>
  <Lines>1</Lines>
  <Paragraphs>1</Paragraphs>
  <TotalTime>0</TotalTime>
  <ScaleCrop>false</ScaleCrop>
  <LinksUpToDate>false</LinksUpToDate>
  <CharactersWithSpaces>11171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USER</cp:lastModifiedBy>
  <cp:lastPrinted>2022-08-22T02:13:00Z</cp:lastPrinted>
  <dcterms:modified xsi:type="dcterms:W3CDTF">2022-08-23T01:41:34Z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6E01AE10DE94423CA919CBA3E6756C42</vt:lpwstr>
  </property>
  <property fmtid="{D5CDD505-2E9C-101B-9397-08002B2CF9AE}" pid="3" name="KSOProductBuildVer">
    <vt:lpwstr>2052-11.1.0.12302</vt:lpwstr>
  </property>
</Properties>
</file>