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5225F">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丰都县道路运输事务中心</w:t>
      </w:r>
    </w:p>
    <w:p w14:paraId="1B1169CF">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B895B77">
      <w:pPr>
        <w:pStyle w:val="9"/>
        <w:shd w:val="clear" w:color="auto" w:fill="FFFFFF"/>
        <w:spacing w:before="0" w:beforeAutospacing="0" w:after="0" w:afterAutospacing="0" w:line="596" w:lineRule="exact"/>
        <w:ind w:firstLine="602" w:firstLineChars="200"/>
        <w:rPr>
          <w:rStyle w:val="13"/>
          <w:rFonts w:hint="default" w:cs="黑体" w:asciiTheme="minorEastAsia" w:hAnsiTheme="minorEastAsia" w:eastAsiaTheme="minorEastAsia"/>
          <w:sz w:val="30"/>
          <w:szCs w:val="30"/>
          <w:shd w:val="clear" w:color="auto" w:fill="FFFFFF"/>
        </w:rPr>
      </w:pPr>
      <w:r>
        <w:rPr>
          <w:rStyle w:val="13"/>
          <w:rFonts w:cs="黑体" w:asciiTheme="minorEastAsia" w:hAnsiTheme="minorEastAsia" w:eastAsiaTheme="minorEastAsia"/>
          <w:sz w:val="30"/>
          <w:szCs w:val="30"/>
          <w:shd w:val="clear" w:color="auto" w:fill="FFFFFF"/>
        </w:rPr>
        <w:t>一、单位基本情况</w:t>
      </w:r>
    </w:p>
    <w:p w14:paraId="08B694AE">
      <w:pPr>
        <w:pStyle w:val="9"/>
        <w:shd w:val="clear" w:color="auto" w:fill="FFFFFF"/>
        <w:spacing w:before="0" w:beforeAutospacing="0" w:after="0" w:afterAutospacing="0" w:line="596" w:lineRule="exact"/>
        <w:ind w:firstLine="602" w:firstLineChars="200"/>
        <w:rPr>
          <w:rFonts w:hint="default" w:cs="方正仿宋_GBK" w:asciiTheme="minorEastAsia" w:hAnsiTheme="minorEastAsia" w:eastAsiaTheme="minorEastAsia"/>
          <w:sz w:val="30"/>
          <w:szCs w:val="30"/>
        </w:rPr>
      </w:pPr>
      <w:r>
        <w:rPr>
          <w:rStyle w:val="13"/>
          <w:rFonts w:cs="楷体" w:asciiTheme="minorEastAsia" w:hAnsiTheme="minorEastAsia" w:eastAsiaTheme="minorEastAsia"/>
          <w:sz w:val="30"/>
          <w:szCs w:val="30"/>
          <w:shd w:val="clear" w:color="auto" w:fill="FFFFFF"/>
        </w:rPr>
        <w:t>（一）职能职责</w:t>
      </w:r>
    </w:p>
    <w:p w14:paraId="2A229AB2">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 贯彻国家有关道路运输行业管理的方针政策、法律法规和行业规范。</w:t>
      </w:r>
    </w:p>
    <w:p w14:paraId="23149AEC">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 承担拟订全县道路运输行业的发展规划（含道路客货运输、城市公共交通运行线网、客货运输站场、城市公交客运站场、机动车维修企业及驾驶员培训学校的布局等）及标准化建设、信用评价和安全服务质量考核的行政辅助工作。</w:t>
      </w:r>
    </w:p>
    <w:p w14:paraId="6BDD4813">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 承担道路旅客运输、道路货物运输（含危险货物运输）、道路客货运输站场、汽车租赁行业管理的行政辅助工作。承担行业转型升级、城乡客运一体化、公交优先发展战略及巡游出租汽车与网约车统筹发展的推进工作。负责协调道路客货运输、城市公共交通线路及线网规划、调整道路运输各层次和各种运输方式之间的关系。承担道路运输与其他运输方式协调发展的行政辅助工作，发挥道路运输在综合交通运输体系中的基础性作用。</w:t>
      </w:r>
    </w:p>
    <w:p w14:paraId="202E420B">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 承担道路运输从业人员的安全知识、技能适应性及管理能力培训和考核工作。</w:t>
      </w:r>
    </w:p>
    <w:p w14:paraId="4CFD47F8">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5. 承担经营性客运车辆（含公交车辆）各项补贴审核发放的行政辅助工作。</w:t>
      </w:r>
    </w:p>
    <w:p w14:paraId="71ADC114">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6. 承担行业统计分析及市场预测信息引导工作，定期向社会发布道路运输市场运行情况报告，开展道路运输改革发展政策的评估工作。</w:t>
      </w:r>
    </w:p>
    <w:p w14:paraId="601FF555">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7. 承担道路运输市场运行监测的行政辅助工作，对全县道路运输行业进行抽样调查，定期收集道路运输经营者及道路运输相关业务经营信息。</w:t>
      </w:r>
    </w:p>
    <w:p w14:paraId="44FE9FD3">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8. 承担对道路运输相关行业经营业户的开、停、歇业过程审批、年度审验等行业管理的行政辅助工作并提供技术服务，承担资质等级评定的行政辅助工作并提供技术服务。</w:t>
      </w:r>
    </w:p>
    <w:p w14:paraId="297DB674">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9. 指导经营性运输车辆的技术管理，承担道路运输服务质量、车辆维修质量、驾驶培训质量的投诉调解行政辅助工作。</w:t>
      </w:r>
    </w:p>
    <w:p w14:paraId="7494B51E">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10. 承担全县道路运输行业安全管理、信访维稳和应急处置的行政辅助工作，承担道路运输企业应急救援队伍的组织、调度等具体工作。</w:t>
      </w:r>
    </w:p>
    <w:p w14:paraId="302EEF99">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11. 承办上级交办的其他工作。</w:t>
      </w:r>
    </w:p>
    <w:p w14:paraId="0AAE70B4">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以上具体职责任务均属于</w:t>
      </w:r>
      <w:r>
        <w:rPr>
          <w:rFonts w:hint="eastAsia" w:asciiTheme="minorEastAsia" w:hAnsiTheme="minorEastAsia" w:eastAsiaTheme="minorEastAsia"/>
          <w:color w:val="000000"/>
          <w:sz w:val="30"/>
          <w:szCs w:val="30"/>
          <w:lang w:eastAsia="zh-CN"/>
        </w:rPr>
        <w:t>基本公共服务</w:t>
      </w:r>
      <w:r>
        <w:rPr>
          <w:rFonts w:hint="eastAsia" w:asciiTheme="minorEastAsia" w:hAnsiTheme="minorEastAsia" w:eastAsiaTheme="minorEastAsia"/>
          <w:color w:val="000000"/>
          <w:sz w:val="30"/>
          <w:szCs w:val="30"/>
        </w:rPr>
        <w:t>。</w:t>
      </w:r>
    </w:p>
    <w:p w14:paraId="70DC0AAD">
      <w:pPr>
        <w:spacing w:line="594" w:lineRule="exact"/>
        <w:ind w:firstLine="600" w:firstLineChars="2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 xml:space="preserve"> </w:t>
      </w:r>
    </w:p>
    <w:p w14:paraId="1DAC698B">
      <w:pPr>
        <w:pStyle w:val="20"/>
        <w:widowControl w:val="0"/>
        <w:numPr>
          <w:ilvl w:val="0"/>
          <w:numId w:val="1"/>
        </w:numPr>
        <w:spacing w:line="580" w:lineRule="exact"/>
        <w:ind w:firstLine="640"/>
        <w:rPr>
          <w:rFonts w:asciiTheme="minorEastAsia" w:hAnsiTheme="minorEastAsia" w:eastAsiaTheme="minorEastAsia"/>
          <w:sz w:val="30"/>
          <w:szCs w:val="30"/>
        </w:rPr>
      </w:pPr>
      <w:r>
        <w:rPr>
          <w:rFonts w:hint="eastAsia" w:asciiTheme="minorEastAsia" w:hAnsiTheme="minorEastAsia" w:eastAsiaTheme="minorEastAsia"/>
          <w:sz w:val="30"/>
          <w:szCs w:val="30"/>
        </w:rPr>
        <w:t>机构设置。</w:t>
      </w:r>
    </w:p>
    <w:p w14:paraId="7CE981A6">
      <w:pPr>
        <w:pStyle w:val="20"/>
        <w:widowControl w:val="0"/>
        <w:spacing w:line="58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根据以上职责任务，丰都县道路运输事务中心设下列5个内设机构：</w:t>
      </w:r>
    </w:p>
    <w:p w14:paraId="44F8DB31">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1.办公室。承担中心日常运转工作，负责党建群团、编制人事、文秘档案、资产管理、精神文明、教育培训、宣传、内外协调、统计、抽样调查、计划、财务、后勤事务等工作。</w:t>
      </w:r>
    </w:p>
    <w:p w14:paraId="26F8FF3A">
      <w:pPr>
        <w:pStyle w:val="20"/>
        <w:widowControl w:val="0"/>
        <w:spacing w:line="580" w:lineRule="exact"/>
        <w:ind w:firstLine="64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客货运输科。负责拟订和贯彻落实道路旅客运输、公交、出租汽车、汽车租赁、货物运输、客货运站场等发展规划、客货运输企业安全服务质量和信用评价考核、节能减排、环境保护、客运车辆（含公交车辆）各项补贴审核发放等方面的行政辅助工作。</w:t>
      </w:r>
    </w:p>
    <w:p w14:paraId="3A43C020">
      <w:pPr>
        <w:pStyle w:val="20"/>
        <w:widowControl w:val="0"/>
        <w:spacing w:line="580" w:lineRule="exact"/>
        <w:ind w:firstLine="64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3.安全信访科。协助主管部门开展道路运输安全检查督查、安全事故调查处理，负责</w:t>
      </w:r>
      <w:r>
        <w:rPr>
          <w:rFonts w:hint="eastAsia" w:asciiTheme="minorEastAsia" w:hAnsiTheme="minorEastAsia" w:eastAsiaTheme="minorEastAsia"/>
          <w:color w:val="000000"/>
          <w:sz w:val="30"/>
          <w:szCs w:val="30"/>
          <w:lang w:val="en-US" w:eastAsia="zh-CN"/>
        </w:rPr>
        <w:t>法治</w:t>
      </w:r>
      <w:r>
        <w:rPr>
          <w:rFonts w:hint="eastAsia" w:asciiTheme="minorEastAsia" w:hAnsiTheme="minorEastAsia" w:eastAsiaTheme="minorEastAsia"/>
          <w:color w:val="000000"/>
          <w:sz w:val="30"/>
          <w:szCs w:val="30"/>
        </w:rPr>
        <w:t>宣传、综合治理、应急管理、信访稳定、环境保护等工作。</w:t>
      </w:r>
    </w:p>
    <w:p w14:paraId="3DFDB9F1">
      <w:pPr>
        <w:pStyle w:val="20"/>
        <w:widowControl w:val="0"/>
        <w:spacing w:line="580" w:lineRule="exact"/>
        <w:ind w:firstLine="64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4.机动车维修科。负责拟订和贯彻落实机动车维修行业发展规划、宣传贯彻营运车辆技术标准、二级维护合格证发放、营运车辆入户审核及审验、维修企业安全服务质量和信用评价考核等方面的行政辅助工作。</w:t>
      </w:r>
    </w:p>
    <w:p w14:paraId="7D9775C1">
      <w:pPr>
        <w:spacing w:line="594" w:lineRule="exact"/>
        <w:ind w:firstLine="600" w:firstLineChars="200"/>
        <w:rPr>
          <w:rFonts w:hint="default" w:cs="宋体" w:asciiTheme="minorEastAsia" w:hAnsiTheme="minorEastAsia" w:eastAsiaTheme="minorEastAsia"/>
          <w:sz w:val="30"/>
          <w:szCs w:val="30"/>
        </w:rPr>
      </w:pPr>
      <w:r>
        <w:rPr>
          <w:rFonts w:cs="宋体" w:asciiTheme="minorEastAsia" w:hAnsiTheme="minorEastAsia" w:eastAsiaTheme="minorEastAsia"/>
          <w:color w:val="000000"/>
          <w:sz w:val="30"/>
          <w:szCs w:val="30"/>
        </w:rPr>
        <w:t>5.驾驶员培训科。负责贯彻落实机动车驾驶员培训发展规划、道路运输从业人员资格考试、备案、诚信考核、违章从业人员考试、驾培企业安全服务质量和信用评价考核等工作。</w:t>
      </w:r>
    </w:p>
    <w:p w14:paraId="0D4174EC">
      <w:pPr>
        <w:spacing w:line="594" w:lineRule="exact"/>
        <w:ind w:firstLine="600" w:firstLineChars="2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（三）单位构成。</w:t>
      </w:r>
    </w:p>
    <w:p w14:paraId="50366261">
      <w:pPr>
        <w:spacing w:line="594" w:lineRule="exact"/>
        <w:ind w:firstLine="600" w:firstLineChars="200"/>
        <w:rPr>
          <w:rFonts w:hint="default" w:cs="宋体" w:asciiTheme="minorEastAsia" w:hAnsiTheme="minorEastAsia" w:eastAsiaTheme="minorEastAsia"/>
          <w:color w:val="000000"/>
          <w:sz w:val="30"/>
          <w:szCs w:val="30"/>
        </w:rPr>
      </w:pPr>
      <w:r>
        <w:rPr>
          <w:rFonts w:cs="宋体" w:asciiTheme="minorEastAsia" w:hAnsiTheme="minorEastAsia" w:eastAsiaTheme="minorEastAsia"/>
          <w:color w:val="000000"/>
          <w:sz w:val="30"/>
          <w:szCs w:val="30"/>
        </w:rPr>
        <w:t>本单位无纳入2024年度决算编制的下级预算单位。</w:t>
      </w:r>
    </w:p>
    <w:p w14:paraId="434D1C34">
      <w:pPr>
        <w:pStyle w:val="9"/>
        <w:shd w:val="clear" w:color="auto" w:fill="FFFFFF"/>
        <w:spacing w:before="0" w:beforeAutospacing="0" w:after="0" w:afterAutospacing="0" w:line="596" w:lineRule="exact"/>
        <w:ind w:firstLine="602" w:firstLineChars="200"/>
        <w:rPr>
          <w:rFonts w:hint="default" w:cs="黑体" w:asciiTheme="minorEastAsia" w:hAnsiTheme="minorEastAsia" w:eastAsiaTheme="minorEastAsia"/>
          <w:b/>
          <w:sz w:val="30"/>
          <w:szCs w:val="30"/>
          <w:shd w:val="clear" w:color="auto" w:fill="FFFFFF"/>
        </w:rPr>
      </w:pPr>
      <w:r>
        <w:rPr>
          <w:rStyle w:val="13"/>
          <w:rFonts w:cs="黑体" w:asciiTheme="minorEastAsia" w:hAnsiTheme="minorEastAsia" w:eastAsiaTheme="minorEastAsia"/>
          <w:sz w:val="30"/>
          <w:szCs w:val="30"/>
          <w:shd w:val="clear" w:color="auto" w:fill="FFFFFF"/>
        </w:rPr>
        <w:t>二、单位决算收支情况说明</w:t>
      </w:r>
    </w:p>
    <w:p w14:paraId="3CF374E2">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（一）收入支出决算总体情况说明</w:t>
      </w:r>
    </w:p>
    <w:p w14:paraId="5F9BE8F9">
      <w:pPr>
        <w:pStyle w:val="9"/>
        <w:shd w:val="clear" w:color="auto" w:fill="FFFFFF"/>
        <w:spacing w:before="0" w:beforeAutospacing="0" w:after="0" w:afterAutospacing="0" w:line="596" w:lineRule="exact"/>
        <w:ind w:firstLine="600" w:firstLineChars="200"/>
        <w:jc w:val="both"/>
        <w:rPr>
          <w:rFonts w:hint="default" w:cs="方正仿宋_GBK" w:asciiTheme="minorEastAsia" w:hAnsiTheme="minorEastAsia" w:eastAsiaTheme="minorEastAsia"/>
          <w:color w:val="000000" w:themeColor="text1"/>
          <w:sz w:val="30"/>
          <w:szCs w:val="30"/>
          <w:shd w:val="clear" w:color="auto" w:fill="FFFFFF"/>
        </w:rPr>
      </w:pP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年度收、支总计均为</w:t>
      </w:r>
      <w:r>
        <w:rPr>
          <w:rFonts w:hint="default" w:asciiTheme="minorEastAsia" w:hAnsiTheme="minorEastAsia" w:eastAsiaTheme="minorEastAsia"/>
          <w:sz w:val="30"/>
          <w:szCs w:val="30"/>
          <w:shd w:val="clear" w:color="auto" w:fill="FFFFFF"/>
        </w:rPr>
        <w:t>3789.15</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收、支与2023年度相比，增加1282.66万元，增长51.2%</w:t>
      </w:r>
      <w:r>
        <w:rPr>
          <w:rFonts w:cs="方正仿宋_GBK" w:asciiTheme="minorEastAsia" w:hAnsiTheme="minorEastAsia" w:eastAsiaTheme="minorEastAsia"/>
          <w:sz w:val="30"/>
          <w:szCs w:val="30"/>
          <w:shd w:val="clear" w:color="auto" w:fill="FFFFFF"/>
        </w:rPr>
        <w:t>，主要原因是在今年的基础上补发了往年的各种公交补贴</w:t>
      </w:r>
      <w:r>
        <w:rPr>
          <w:rFonts w:cs="方正仿宋_GBK" w:asciiTheme="minorEastAsia" w:hAnsiTheme="minorEastAsia" w:eastAsiaTheme="minorEastAsia"/>
          <w:color w:val="000000" w:themeColor="text1"/>
          <w:sz w:val="30"/>
          <w:szCs w:val="30"/>
          <w:shd w:val="clear" w:color="auto" w:fill="FFFFFF"/>
        </w:rPr>
        <w:t>。</w:t>
      </w:r>
    </w:p>
    <w:p w14:paraId="689B147A">
      <w:pPr>
        <w:pStyle w:val="9"/>
        <w:shd w:val="clear" w:color="auto" w:fill="FFFFFF"/>
        <w:spacing w:before="0" w:beforeAutospacing="0" w:after="0" w:afterAutospacing="0" w:line="596" w:lineRule="exact"/>
        <w:ind w:firstLine="602" w:firstLineChars="200"/>
        <w:jc w:val="both"/>
        <w:rPr>
          <w:rFonts w:hint="default" w:cs="方正仿宋_GBK" w:asciiTheme="minorEastAsia" w:hAnsiTheme="minorEastAsia" w:eastAsiaTheme="minorEastAsia"/>
          <w:sz w:val="30"/>
          <w:szCs w:val="30"/>
          <w:shd w:val="clear" w:color="auto" w:fill="FFFFFF"/>
        </w:rPr>
      </w:pPr>
      <w:r>
        <w:rPr>
          <w:rStyle w:val="13"/>
          <w:rFonts w:asciiTheme="minorEastAsia" w:hAnsiTheme="minorEastAsia" w:eastAsiaTheme="minorEastAsia"/>
          <w:sz w:val="30"/>
          <w:szCs w:val="30"/>
          <w:shd w:val="clear" w:color="auto" w:fill="FFFFFF"/>
        </w:rPr>
        <w:t>1</w:t>
      </w:r>
      <w:r>
        <w:rPr>
          <w:rStyle w:val="13"/>
          <w:rFonts w:cs="方正仿宋_GBK" w:asciiTheme="minorEastAsia" w:hAnsiTheme="minorEastAsia" w:eastAsiaTheme="minorEastAsia"/>
          <w:sz w:val="30"/>
          <w:szCs w:val="30"/>
          <w:shd w:val="clear" w:color="auto" w:fill="FFFFFF"/>
        </w:rPr>
        <w:t>.收入情况。</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年度收入合计</w:t>
      </w:r>
      <w:r>
        <w:rPr>
          <w:rFonts w:hint="default" w:asciiTheme="minorEastAsia" w:hAnsiTheme="minorEastAsia" w:eastAsiaTheme="minorEastAsia"/>
          <w:sz w:val="30"/>
          <w:szCs w:val="30"/>
          <w:shd w:val="clear" w:color="auto" w:fill="FFFFFF"/>
        </w:rPr>
        <w:t>3777.50</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与2023年度相比，增加1416.75万元，增长60.0%</w:t>
      </w:r>
      <w:r>
        <w:rPr>
          <w:rFonts w:cs="方正仿宋_GBK" w:asciiTheme="minorEastAsia" w:hAnsiTheme="minorEastAsia" w:eastAsiaTheme="minorEastAsia"/>
          <w:sz w:val="30"/>
          <w:szCs w:val="30"/>
          <w:shd w:val="clear" w:color="auto" w:fill="FFFFFF"/>
        </w:rPr>
        <w:t>，主要原因是在今年的基础上补发了往年的各种公交补贴</w:t>
      </w:r>
      <w:r>
        <w:rPr>
          <w:rFonts w:cs="方正仿宋_GBK" w:asciiTheme="minorEastAsia" w:hAnsiTheme="minorEastAsia" w:eastAsiaTheme="minorEastAsia"/>
          <w:color w:val="000000" w:themeColor="text1"/>
          <w:sz w:val="30"/>
          <w:szCs w:val="30"/>
          <w:shd w:val="clear" w:color="auto" w:fill="FFFFFF"/>
        </w:rPr>
        <w:t>。</w:t>
      </w:r>
      <w:r>
        <w:rPr>
          <w:rFonts w:cs="方正仿宋_GBK" w:asciiTheme="minorEastAsia" w:hAnsiTheme="minorEastAsia" w:eastAsiaTheme="minorEastAsia"/>
          <w:sz w:val="30"/>
          <w:szCs w:val="30"/>
          <w:shd w:val="clear" w:color="auto" w:fill="FFFFFF"/>
        </w:rPr>
        <w:t>其中：财政拨款收入</w:t>
      </w:r>
      <w:r>
        <w:rPr>
          <w:rFonts w:hint="default" w:asciiTheme="minorEastAsia" w:hAnsiTheme="minorEastAsia" w:eastAsiaTheme="minorEastAsia"/>
          <w:sz w:val="30"/>
          <w:szCs w:val="30"/>
          <w:shd w:val="clear" w:color="auto" w:fill="FFFFFF"/>
        </w:rPr>
        <w:t>3777.50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100.0%</w:t>
      </w:r>
      <w:r>
        <w:rPr>
          <w:rFonts w:cs="方正仿宋_GBK" w:asciiTheme="minorEastAsia" w:hAnsiTheme="minorEastAsia" w:eastAsiaTheme="minorEastAsia"/>
          <w:sz w:val="30"/>
          <w:szCs w:val="30"/>
          <w:shd w:val="clear" w:color="auto" w:fill="FFFFFF"/>
        </w:rPr>
        <w:t>；事业收入</w:t>
      </w:r>
      <w:r>
        <w:rPr>
          <w:rFonts w:hint="default" w:asciiTheme="minorEastAsia" w:hAnsiTheme="minorEastAsia" w:eastAsiaTheme="minorEastAsia"/>
          <w:sz w:val="30"/>
          <w:szCs w:val="30"/>
          <w:shd w:val="clear" w:color="auto" w:fill="FFFFFF"/>
        </w:rPr>
        <w:t>0.00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0.0%</w:t>
      </w:r>
      <w:r>
        <w:rPr>
          <w:rFonts w:cs="方正仿宋_GBK" w:asciiTheme="minorEastAsia" w:hAnsiTheme="minorEastAsia" w:eastAsiaTheme="minorEastAsia"/>
          <w:sz w:val="30"/>
          <w:szCs w:val="30"/>
          <w:shd w:val="clear" w:color="auto" w:fill="FFFFFF"/>
        </w:rPr>
        <w:t>；经营收入</w:t>
      </w:r>
      <w:r>
        <w:rPr>
          <w:rFonts w:hint="default" w:asciiTheme="minorEastAsia" w:hAnsiTheme="minorEastAsia" w:eastAsiaTheme="minorEastAsia"/>
          <w:sz w:val="30"/>
          <w:szCs w:val="30"/>
          <w:shd w:val="clear" w:color="auto" w:fill="FFFFFF"/>
        </w:rPr>
        <w:t>0.00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0.0%</w:t>
      </w:r>
      <w:r>
        <w:rPr>
          <w:rFonts w:cs="方正仿宋_GBK" w:asciiTheme="minorEastAsia" w:hAnsiTheme="minorEastAsia" w:eastAsiaTheme="minorEastAsia"/>
          <w:sz w:val="30"/>
          <w:szCs w:val="30"/>
          <w:shd w:val="clear" w:color="auto" w:fill="FFFFFF"/>
        </w:rPr>
        <w:t>；其他收入</w:t>
      </w:r>
      <w:r>
        <w:rPr>
          <w:rFonts w:hint="default" w:asciiTheme="minorEastAsia" w:hAnsiTheme="minorEastAsia" w:eastAsiaTheme="minorEastAsia"/>
          <w:sz w:val="30"/>
          <w:szCs w:val="30"/>
          <w:shd w:val="clear" w:color="auto" w:fill="FFFFFF"/>
        </w:rPr>
        <w:t>0.00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0.0%</w:t>
      </w:r>
      <w:r>
        <w:rPr>
          <w:rFonts w:cs="方正仿宋_GBK" w:asciiTheme="minorEastAsia" w:hAnsiTheme="minorEastAsia" w:eastAsiaTheme="minorEastAsia"/>
          <w:sz w:val="30"/>
          <w:szCs w:val="30"/>
          <w:shd w:val="clear" w:color="auto" w:fill="FFFFFF"/>
        </w:rPr>
        <w:t>。此外，使用非财政拨款结余（含专用结余）</w:t>
      </w:r>
      <w:r>
        <w:rPr>
          <w:rFonts w:hint="default" w:asciiTheme="minorEastAsia" w:hAnsiTheme="minorEastAsia" w:eastAsiaTheme="minorEastAsia"/>
          <w:sz w:val="30"/>
          <w:szCs w:val="30"/>
          <w:shd w:val="clear" w:color="auto" w:fill="FFFFFF"/>
        </w:rPr>
        <w:t>0.00</w:t>
      </w:r>
      <w:r>
        <w:rPr>
          <w:rFonts w:cs="方正仿宋_GBK" w:asciiTheme="minorEastAsia" w:hAnsiTheme="minorEastAsia" w:eastAsiaTheme="minorEastAsia"/>
          <w:sz w:val="30"/>
          <w:szCs w:val="30"/>
          <w:shd w:val="clear" w:color="auto" w:fill="FFFFFF"/>
        </w:rPr>
        <w:t>万元，年初结转和结余</w:t>
      </w:r>
      <w:r>
        <w:rPr>
          <w:rFonts w:hint="default" w:asciiTheme="minorEastAsia" w:hAnsiTheme="minorEastAsia" w:eastAsiaTheme="minorEastAsia"/>
          <w:sz w:val="30"/>
          <w:szCs w:val="30"/>
          <w:shd w:val="clear" w:color="auto" w:fill="FFFFFF"/>
        </w:rPr>
        <w:t>11.65</w:t>
      </w:r>
      <w:r>
        <w:rPr>
          <w:rFonts w:cs="方正仿宋_GBK" w:asciiTheme="minorEastAsia" w:hAnsiTheme="minorEastAsia" w:eastAsiaTheme="minorEastAsia"/>
          <w:sz w:val="30"/>
          <w:szCs w:val="30"/>
          <w:shd w:val="clear" w:color="auto" w:fill="FFFFFF"/>
        </w:rPr>
        <w:t>万元。</w:t>
      </w:r>
    </w:p>
    <w:p w14:paraId="4A749B4C">
      <w:pPr>
        <w:pStyle w:val="9"/>
        <w:snapToGrid w:val="0"/>
        <w:spacing w:before="0" w:beforeAutospacing="0" w:after="0" w:afterAutospacing="0" w:line="596" w:lineRule="exact"/>
        <w:ind w:firstLine="602" w:firstLineChars="200"/>
        <w:jc w:val="both"/>
        <w:rPr>
          <w:rFonts w:hint="default" w:cs="方正仿宋_GBK" w:asciiTheme="minorEastAsia" w:hAnsiTheme="minorEastAsia" w:eastAsiaTheme="minorEastAsia"/>
          <w:sz w:val="30"/>
          <w:szCs w:val="30"/>
          <w:shd w:val="clear" w:color="auto" w:fill="FFFFFF"/>
        </w:rPr>
      </w:pPr>
      <w:r>
        <w:rPr>
          <w:rStyle w:val="13"/>
          <w:rFonts w:asciiTheme="minorEastAsia" w:hAnsiTheme="minorEastAsia" w:eastAsiaTheme="minorEastAsia"/>
          <w:sz w:val="30"/>
          <w:szCs w:val="30"/>
          <w:shd w:val="clear" w:color="auto" w:fill="FFFFFF"/>
        </w:rPr>
        <w:t>2</w:t>
      </w:r>
      <w:r>
        <w:rPr>
          <w:rStyle w:val="13"/>
          <w:rFonts w:cs="方正仿宋_GBK" w:asciiTheme="minorEastAsia" w:hAnsiTheme="minorEastAsia" w:eastAsiaTheme="minorEastAsia"/>
          <w:sz w:val="30"/>
          <w:szCs w:val="30"/>
          <w:shd w:val="clear" w:color="auto" w:fill="FFFFFF"/>
        </w:rPr>
        <w:t>.支出情况。</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年度支出合计</w:t>
      </w:r>
      <w:r>
        <w:rPr>
          <w:rFonts w:hint="default" w:asciiTheme="minorEastAsia" w:hAnsiTheme="minorEastAsia" w:eastAsiaTheme="minorEastAsia"/>
          <w:sz w:val="30"/>
          <w:szCs w:val="30"/>
          <w:shd w:val="clear" w:color="auto" w:fill="FFFFFF"/>
        </w:rPr>
        <w:t>3777.50</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与2023年度相比，增加1282.66万元，增长51.4%</w:t>
      </w:r>
      <w:r>
        <w:rPr>
          <w:rFonts w:cs="方正仿宋_GBK" w:asciiTheme="minorEastAsia" w:hAnsiTheme="minorEastAsia" w:eastAsiaTheme="minorEastAsia"/>
          <w:sz w:val="30"/>
          <w:szCs w:val="30"/>
          <w:shd w:val="clear" w:color="auto" w:fill="FFFFFF"/>
        </w:rPr>
        <w:t>，主要原因是在今年的基础上补发了往年的各种公交补贴</w:t>
      </w:r>
      <w:r>
        <w:rPr>
          <w:rFonts w:cs="方正仿宋_GBK" w:asciiTheme="minorEastAsia" w:hAnsiTheme="minorEastAsia" w:eastAsiaTheme="minorEastAsia"/>
          <w:color w:val="000000" w:themeColor="text1"/>
          <w:sz w:val="30"/>
          <w:szCs w:val="30"/>
          <w:shd w:val="clear" w:color="auto" w:fill="FFFFFF"/>
        </w:rPr>
        <w:t>。</w:t>
      </w:r>
      <w:r>
        <w:rPr>
          <w:rFonts w:cs="方正仿宋_GBK" w:asciiTheme="minorEastAsia" w:hAnsiTheme="minorEastAsia" w:eastAsiaTheme="minorEastAsia"/>
          <w:sz w:val="30"/>
          <w:szCs w:val="30"/>
          <w:shd w:val="clear" w:color="auto" w:fill="FFFFFF"/>
        </w:rPr>
        <w:t>其中：基本支出</w:t>
      </w:r>
      <w:r>
        <w:rPr>
          <w:rFonts w:hint="default" w:asciiTheme="minorEastAsia" w:hAnsiTheme="minorEastAsia" w:eastAsiaTheme="minorEastAsia"/>
          <w:sz w:val="30"/>
          <w:szCs w:val="30"/>
          <w:shd w:val="clear" w:color="auto" w:fill="FFFFFF"/>
        </w:rPr>
        <w:t>382.99</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10.1%</w:t>
      </w:r>
      <w:r>
        <w:rPr>
          <w:rFonts w:cs="方正仿宋_GBK" w:asciiTheme="minorEastAsia" w:hAnsiTheme="minorEastAsia" w:eastAsiaTheme="minorEastAsia"/>
          <w:sz w:val="30"/>
          <w:szCs w:val="30"/>
          <w:shd w:val="clear" w:color="auto" w:fill="FFFFFF"/>
        </w:rPr>
        <w:t>；项目支出</w:t>
      </w:r>
      <w:r>
        <w:rPr>
          <w:rFonts w:hint="default" w:asciiTheme="minorEastAsia" w:hAnsiTheme="minorEastAsia" w:eastAsiaTheme="minorEastAsia"/>
          <w:sz w:val="30"/>
          <w:szCs w:val="30"/>
          <w:shd w:val="clear" w:color="auto" w:fill="FFFFFF"/>
        </w:rPr>
        <w:t>3394.51</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89.9%</w:t>
      </w:r>
      <w:r>
        <w:rPr>
          <w:rFonts w:cs="方正仿宋_GBK" w:asciiTheme="minorEastAsia" w:hAnsiTheme="minorEastAsia" w:eastAsiaTheme="minorEastAsia"/>
          <w:sz w:val="30"/>
          <w:szCs w:val="30"/>
          <w:shd w:val="clear" w:color="auto" w:fill="FFFFFF"/>
        </w:rPr>
        <w:t>；经营支出</w:t>
      </w:r>
      <w:r>
        <w:rPr>
          <w:rFonts w:hint="default" w:asciiTheme="minorEastAsia" w:hAnsiTheme="minorEastAsia" w:eastAsiaTheme="minorEastAsia"/>
          <w:sz w:val="30"/>
          <w:szCs w:val="30"/>
        </w:rPr>
        <w:t>0.00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0.0%</w:t>
      </w:r>
      <w:r>
        <w:rPr>
          <w:rFonts w:cs="方正仿宋_GBK" w:asciiTheme="minorEastAsia" w:hAnsiTheme="minorEastAsia" w:eastAsiaTheme="minorEastAsia"/>
          <w:sz w:val="30"/>
          <w:szCs w:val="30"/>
          <w:shd w:val="clear" w:color="auto" w:fill="FFFFFF"/>
        </w:rPr>
        <w:t>。此外，结余分配</w:t>
      </w:r>
      <w:r>
        <w:rPr>
          <w:rFonts w:hint="default" w:asciiTheme="minorEastAsia" w:hAnsiTheme="minorEastAsia" w:eastAsiaTheme="minorEastAsia"/>
          <w:sz w:val="30"/>
          <w:szCs w:val="30"/>
          <w:shd w:val="clear" w:color="auto" w:fill="FFFFFF"/>
        </w:rPr>
        <w:t>0.00</w:t>
      </w:r>
      <w:r>
        <w:rPr>
          <w:rFonts w:cs="方正仿宋_GBK" w:asciiTheme="minorEastAsia" w:hAnsiTheme="minorEastAsia" w:eastAsiaTheme="minorEastAsia"/>
          <w:sz w:val="30"/>
          <w:szCs w:val="30"/>
          <w:shd w:val="clear" w:color="auto" w:fill="FFFFFF"/>
        </w:rPr>
        <w:t>万元。</w:t>
      </w:r>
    </w:p>
    <w:p w14:paraId="0814B476">
      <w:pPr>
        <w:pStyle w:val="9"/>
        <w:snapToGrid w:val="0"/>
        <w:spacing w:before="0" w:beforeAutospacing="0" w:after="0" w:afterAutospacing="0" w:line="596" w:lineRule="exact"/>
        <w:ind w:firstLine="602" w:firstLineChars="200"/>
        <w:jc w:val="both"/>
        <w:rPr>
          <w:rFonts w:hint="default" w:cs="方正仿宋_GBK" w:asciiTheme="minorEastAsia" w:hAnsiTheme="minorEastAsia" w:eastAsiaTheme="minorEastAsia"/>
          <w:sz w:val="30"/>
          <w:szCs w:val="30"/>
        </w:rPr>
      </w:pPr>
      <w:r>
        <w:rPr>
          <w:rStyle w:val="13"/>
          <w:rFonts w:asciiTheme="minorEastAsia" w:hAnsiTheme="minorEastAsia" w:eastAsiaTheme="minorEastAsia"/>
          <w:sz w:val="30"/>
          <w:szCs w:val="30"/>
          <w:shd w:val="clear" w:color="auto" w:fill="FFFFFF"/>
        </w:rPr>
        <w:t>3</w:t>
      </w:r>
      <w:r>
        <w:rPr>
          <w:rStyle w:val="13"/>
          <w:rFonts w:cs="方正仿宋_GBK" w:asciiTheme="minorEastAsia" w:hAnsiTheme="minorEastAsia" w:eastAsiaTheme="minorEastAsia"/>
          <w:sz w:val="30"/>
          <w:szCs w:val="30"/>
          <w:shd w:val="clear" w:color="auto" w:fill="FFFFFF"/>
        </w:rPr>
        <w:t>.结转结余情况。</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年度年末结转和结余</w:t>
      </w:r>
      <w:r>
        <w:rPr>
          <w:rFonts w:hint="default" w:asciiTheme="minorEastAsia" w:hAnsiTheme="minorEastAsia" w:eastAsiaTheme="minorEastAsia"/>
          <w:sz w:val="30"/>
          <w:szCs w:val="30"/>
          <w:shd w:val="clear" w:color="auto" w:fill="FFFFFF"/>
        </w:rPr>
        <w:t>11.65</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与2023年度相比，无增减</w:t>
      </w:r>
      <w:r>
        <w:rPr>
          <w:rFonts w:cs="方正仿宋_GBK" w:asciiTheme="minorEastAsia" w:hAnsiTheme="minorEastAsia" w:eastAsiaTheme="minorEastAsia"/>
          <w:sz w:val="30"/>
          <w:szCs w:val="30"/>
          <w:shd w:val="clear" w:color="auto" w:fill="FFFFFF"/>
        </w:rPr>
        <w:t>，主要原因是燃油补贴工作经费暂无费用发生。</w:t>
      </w:r>
    </w:p>
    <w:p w14:paraId="07B02A97">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（二）财政拨款收入支出决算总体情况说明</w:t>
      </w:r>
    </w:p>
    <w:p w14:paraId="1639699A">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rPr>
      </w:pP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年度财政拨款收、支总计均为</w:t>
      </w:r>
      <w:r>
        <w:rPr>
          <w:rFonts w:hint="default" w:asciiTheme="minorEastAsia" w:hAnsiTheme="minorEastAsia" w:eastAsiaTheme="minorEastAsia"/>
          <w:sz w:val="30"/>
          <w:szCs w:val="30"/>
          <w:shd w:val="clear" w:color="auto" w:fill="FFFFFF"/>
        </w:rPr>
        <w:t>3789.15</w:t>
      </w:r>
      <w:r>
        <w:rPr>
          <w:rFonts w:cs="方正仿宋_GBK" w:asciiTheme="minorEastAsia" w:hAnsiTheme="minorEastAsia" w:eastAsiaTheme="minorEastAsia"/>
          <w:sz w:val="30"/>
          <w:szCs w:val="30"/>
          <w:shd w:val="clear" w:color="auto" w:fill="FFFFFF"/>
        </w:rPr>
        <w:t>万元。与</w:t>
      </w:r>
      <w:r>
        <w:rPr>
          <w:rFonts w:hint="default" w:asciiTheme="minorEastAsia" w:hAnsiTheme="minorEastAsia" w:eastAsiaTheme="minorEastAsia"/>
          <w:sz w:val="30"/>
          <w:szCs w:val="30"/>
          <w:shd w:val="clear" w:color="auto" w:fill="FFFFFF"/>
        </w:rPr>
        <w:t>2023</w:t>
      </w:r>
      <w:r>
        <w:rPr>
          <w:rFonts w:cs="方正仿宋_GBK" w:asciiTheme="minorEastAsia" w:hAnsiTheme="minorEastAsia" w:eastAsiaTheme="minorEastAsia"/>
          <w:sz w:val="30"/>
          <w:szCs w:val="30"/>
          <w:shd w:val="clear" w:color="auto" w:fill="FFFFFF"/>
        </w:rPr>
        <w:t>年度相比，</w:t>
      </w:r>
      <w:r>
        <w:rPr>
          <w:rFonts w:hint="default" w:asciiTheme="minorEastAsia" w:hAnsiTheme="minorEastAsia" w:eastAsiaTheme="minorEastAsia"/>
          <w:sz w:val="30"/>
          <w:szCs w:val="30"/>
          <w:shd w:val="clear" w:color="auto" w:fill="FFFFFF"/>
        </w:rPr>
        <w:t>财政拨款收、支总计各增加1282.66万元，增长51.2%</w:t>
      </w:r>
      <w:r>
        <w:rPr>
          <w:rFonts w:cs="方正仿宋_GBK" w:asciiTheme="minorEastAsia" w:hAnsiTheme="minorEastAsia" w:eastAsiaTheme="minorEastAsia"/>
          <w:sz w:val="30"/>
          <w:szCs w:val="30"/>
          <w:shd w:val="clear" w:color="auto" w:fill="FFFFFF"/>
        </w:rPr>
        <w:t>。主要原因是在今年的基础上补发了往年的各种公交补贴</w:t>
      </w:r>
      <w:r>
        <w:rPr>
          <w:rFonts w:cs="方正仿宋_GBK" w:asciiTheme="minorEastAsia" w:hAnsiTheme="minorEastAsia" w:eastAsiaTheme="minorEastAsia"/>
          <w:color w:val="000000" w:themeColor="text1"/>
          <w:sz w:val="30"/>
          <w:szCs w:val="30"/>
          <w:shd w:val="clear" w:color="auto" w:fill="FFFFFF"/>
        </w:rPr>
        <w:t>。</w:t>
      </w:r>
    </w:p>
    <w:p w14:paraId="692F7C57">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（三）一般公共预算财政拨款收入支出决算情况说明</w:t>
      </w:r>
    </w:p>
    <w:p w14:paraId="0A3FCD4D">
      <w:pPr>
        <w:pStyle w:val="9"/>
        <w:snapToGrid w:val="0"/>
        <w:spacing w:before="0" w:beforeAutospacing="0" w:after="0" w:afterAutospacing="0" w:line="596" w:lineRule="exact"/>
        <w:ind w:firstLine="602" w:firstLineChars="200"/>
        <w:jc w:val="both"/>
        <w:rPr>
          <w:rFonts w:hint="default" w:cs="方正仿宋_GBK" w:asciiTheme="minorEastAsia" w:hAnsiTheme="minorEastAsia" w:eastAsiaTheme="minorEastAsia"/>
          <w:sz w:val="30"/>
          <w:szCs w:val="30"/>
        </w:rPr>
      </w:pPr>
      <w:r>
        <w:rPr>
          <w:rStyle w:val="13"/>
          <w:rFonts w:hint="default" w:asciiTheme="minorEastAsia" w:hAnsiTheme="minorEastAsia" w:eastAsiaTheme="minorEastAsia"/>
          <w:sz w:val="30"/>
          <w:szCs w:val="30"/>
          <w:shd w:val="clear" w:color="auto" w:fill="FFFFFF"/>
        </w:rPr>
        <w:t>1</w:t>
      </w:r>
      <w:r>
        <w:rPr>
          <w:rStyle w:val="13"/>
          <w:rFonts w:cs="方正仿宋_GBK" w:asciiTheme="minorEastAsia" w:hAnsiTheme="minorEastAsia" w:eastAsiaTheme="minorEastAsia"/>
          <w:sz w:val="30"/>
          <w:szCs w:val="30"/>
          <w:shd w:val="clear" w:color="auto" w:fill="FFFFFF"/>
        </w:rPr>
        <w:t>.收入情况。</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年度一般公共预算财政拨款收入</w:t>
      </w:r>
      <w:r>
        <w:rPr>
          <w:rFonts w:hint="default" w:asciiTheme="minorEastAsia" w:hAnsiTheme="minorEastAsia" w:eastAsiaTheme="minorEastAsia"/>
          <w:sz w:val="30"/>
          <w:szCs w:val="30"/>
          <w:shd w:val="clear" w:color="auto" w:fill="FFFFFF"/>
        </w:rPr>
        <w:t>3777.50</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与2023年度相比，增加1416.75万元，增长60.0%</w:t>
      </w:r>
      <w:r>
        <w:rPr>
          <w:rFonts w:cs="方正仿宋_GBK" w:asciiTheme="minorEastAsia" w:hAnsiTheme="minorEastAsia" w:eastAsiaTheme="minorEastAsia"/>
          <w:sz w:val="30"/>
          <w:szCs w:val="30"/>
          <w:shd w:val="clear" w:color="auto" w:fill="FFFFFF"/>
        </w:rPr>
        <w:t>。主要原因是在今年的基础上补发了往年的各种公交补贴</w:t>
      </w:r>
      <w:r>
        <w:rPr>
          <w:rFonts w:cs="方正仿宋_GBK" w:asciiTheme="minorEastAsia" w:hAnsiTheme="minorEastAsia" w:eastAsiaTheme="minorEastAsia"/>
          <w:color w:val="000000" w:themeColor="text1"/>
          <w:sz w:val="30"/>
          <w:szCs w:val="30"/>
          <w:shd w:val="clear" w:color="auto" w:fill="FFFFFF"/>
        </w:rPr>
        <w:t>。</w:t>
      </w:r>
      <w:r>
        <w:rPr>
          <w:rFonts w:hint="default" w:asciiTheme="minorEastAsia" w:hAnsiTheme="minorEastAsia" w:eastAsiaTheme="minorEastAsia"/>
          <w:sz w:val="30"/>
          <w:szCs w:val="30"/>
          <w:shd w:val="clear" w:color="auto" w:fill="FFFFFF"/>
        </w:rPr>
        <w:t>较年初预算数增加1215.25万元，增长47.4%</w:t>
      </w:r>
      <w:r>
        <w:rPr>
          <w:rFonts w:cs="方正仿宋_GBK" w:asciiTheme="minorEastAsia" w:hAnsiTheme="minorEastAsia" w:eastAsiaTheme="minorEastAsia"/>
          <w:sz w:val="30"/>
          <w:szCs w:val="30"/>
          <w:shd w:val="clear" w:color="auto" w:fill="FFFFFF"/>
        </w:rPr>
        <w:t>。主要原因是年中对往年的各种公交补贴进行了清算，追加了预算</w:t>
      </w:r>
      <w:r>
        <w:rPr>
          <w:rFonts w:cs="方正仿宋_GBK" w:asciiTheme="minorEastAsia" w:hAnsiTheme="minorEastAsia" w:eastAsiaTheme="minorEastAsia"/>
          <w:color w:val="000000" w:themeColor="text1"/>
          <w:sz w:val="30"/>
          <w:szCs w:val="30"/>
          <w:shd w:val="clear" w:color="auto" w:fill="FFFFFF"/>
        </w:rPr>
        <w:t>。</w:t>
      </w:r>
      <w:r>
        <w:rPr>
          <w:rFonts w:cs="方正仿宋_GBK" w:asciiTheme="minorEastAsia" w:hAnsiTheme="minorEastAsia" w:eastAsiaTheme="minorEastAsia"/>
          <w:sz w:val="30"/>
          <w:szCs w:val="30"/>
          <w:shd w:val="clear" w:color="auto" w:fill="FFFFFF"/>
        </w:rPr>
        <w:t>此外，年初财政拨款结转和结余</w:t>
      </w:r>
      <w:r>
        <w:rPr>
          <w:rFonts w:hint="default" w:asciiTheme="minorEastAsia" w:hAnsiTheme="minorEastAsia" w:eastAsiaTheme="minorEastAsia"/>
          <w:sz w:val="30"/>
          <w:szCs w:val="30"/>
          <w:shd w:val="clear" w:color="auto" w:fill="FFFFFF"/>
        </w:rPr>
        <w:t>11.65</w:t>
      </w:r>
      <w:r>
        <w:rPr>
          <w:rFonts w:cs="方正仿宋_GBK" w:asciiTheme="minorEastAsia" w:hAnsiTheme="minorEastAsia" w:eastAsiaTheme="minorEastAsia"/>
          <w:sz w:val="30"/>
          <w:szCs w:val="30"/>
          <w:shd w:val="clear" w:color="auto" w:fill="FFFFFF"/>
        </w:rPr>
        <w:t>万元。</w:t>
      </w:r>
    </w:p>
    <w:p w14:paraId="23BF96DA">
      <w:pPr>
        <w:pStyle w:val="9"/>
        <w:snapToGrid w:val="0"/>
        <w:spacing w:before="0" w:beforeAutospacing="0" w:after="0" w:afterAutospacing="0" w:line="596" w:lineRule="exact"/>
        <w:ind w:firstLine="602" w:firstLineChars="200"/>
        <w:jc w:val="both"/>
        <w:rPr>
          <w:rFonts w:hint="default" w:cs="方正仿宋_GBK" w:asciiTheme="minorEastAsia" w:hAnsiTheme="minorEastAsia" w:eastAsiaTheme="minorEastAsia"/>
          <w:sz w:val="30"/>
          <w:szCs w:val="30"/>
        </w:rPr>
      </w:pPr>
      <w:r>
        <w:rPr>
          <w:rStyle w:val="13"/>
          <w:rFonts w:hint="default" w:asciiTheme="minorEastAsia" w:hAnsiTheme="minorEastAsia" w:eastAsiaTheme="minorEastAsia"/>
          <w:sz w:val="30"/>
          <w:szCs w:val="30"/>
          <w:shd w:val="clear" w:color="auto" w:fill="FFFFFF"/>
        </w:rPr>
        <w:t>2</w:t>
      </w:r>
      <w:r>
        <w:rPr>
          <w:rStyle w:val="13"/>
          <w:rFonts w:cs="方正仿宋_GBK" w:asciiTheme="minorEastAsia" w:hAnsiTheme="minorEastAsia" w:eastAsiaTheme="minorEastAsia"/>
          <w:sz w:val="30"/>
          <w:szCs w:val="30"/>
          <w:shd w:val="clear" w:color="auto" w:fill="FFFFFF"/>
        </w:rPr>
        <w:t>.支出情况。</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年度一般公共预算财政拨款支出</w:t>
      </w:r>
      <w:r>
        <w:rPr>
          <w:rFonts w:hint="default" w:asciiTheme="minorEastAsia" w:hAnsiTheme="minorEastAsia" w:eastAsiaTheme="minorEastAsia"/>
          <w:sz w:val="30"/>
          <w:szCs w:val="30"/>
          <w:shd w:val="clear" w:color="auto" w:fill="FFFFFF"/>
        </w:rPr>
        <w:t>3777.50</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与2023年度相比，增加1282.66万元，增长51.4%</w:t>
      </w:r>
      <w:r>
        <w:rPr>
          <w:rFonts w:cs="方正仿宋_GBK" w:asciiTheme="minorEastAsia" w:hAnsiTheme="minorEastAsia" w:eastAsiaTheme="minorEastAsia"/>
          <w:sz w:val="30"/>
          <w:szCs w:val="30"/>
          <w:shd w:val="clear" w:color="auto" w:fill="FFFFFF"/>
        </w:rPr>
        <w:t>。主要原因是在今年的基础上补发了往年的各种公交补贴</w:t>
      </w:r>
      <w:r>
        <w:rPr>
          <w:rFonts w:cs="方正仿宋_GBK" w:asciiTheme="minorEastAsia" w:hAnsiTheme="minorEastAsia" w:eastAsiaTheme="minorEastAsia"/>
          <w:color w:val="000000" w:themeColor="text1"/>
          <w:sz w:val="30"/>
          <w:szCs w:val="30"/>
          <w:shd w:val="clear" w:color="auto" w:fill="FFFFFF"/>
        </w:rPr>
        <w:t>。</w:t>
      </w:r>
      <w:r>
        <w:rPr>
          <w:rFonts w:hint="default" w:asciiTheme="minorEastAsia" w:hAnsiTheme="minorEastAsia" w:eastAsiaTheme="minorEastAsia"/>
          <w:sz w:val="30"/>
          <w:szCs w:val="30"/>
          <w:shd w:val="clear" w:color="auto" w:fill="FFFFFF"/>
        </w:rPr>
        <w:t>较年初预算数增加1215.25万元，增长47.4%</w:t>
      </w:r>
      <w:r>
        <w:rPr>
          <w:rFonts w:cs="方正仿宋_GBK" w:asciiTheme="minorEastAsia" w:hAnsiTheme="minorEastAsia" w:eastAsiaTheme="minorEastAsia"/>
          <w:sz w:val="30"/>
          <w:szCs w:val="30"/>
          <w:shd w:val="clear" w:color="auto" w:fill="FFFFFF"/>
        </w:rPr>
        <w:t>。主要原因是年中对往年的各种公交补贴进行了清算，追加了预算支出</w:t>
      </w:r>
      <w:r>
        <w:rPr>
          <w:rFonts w:cs="方正仿宋_GBK" w:asciiTheme="minorEastAsia" w:hAnsiTheme="minorEastAsia" w:eastAsiaTheme="minorEastAsia"/>
          <w:color w:val="000000" w:themeColor="text1"/>
          <w:sz w:val="30"/>
          <w:szCs w:val="30"/>
          <w:shd w:val="clear" w:color="auto" w:fill="FFFFFF"/>
        </w:rPr>
        <w:t>。</w:t>
      </w:r>
    </w:p>
    <w:p w14:paraId="57368F88">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shd w:val="clear" w:color="auto" w:fill="FFFFFF"/>
        </w:rPr>
      </w:pPr>
      <w:r>
        <w:rPr>
          <w:rFonts w:cs="方正仿宋_GBK" w:asciiTheme="minorEastAsia" w:hAnsiTheme="minorEastAsia" w:eastAsiaTheme="minorEastAsia"/>
          <w:sz w:val="30"/>
          <w:szCs w:val="30"/>
          <w:shd w:val="clear" w:color="auto" w:fill="FFFFFF"/>
        </w:rPr>
        <w:t>一般公共预算财政拨款支出主要用途如下：</w:t>
      </w:r>
    </w:p>
    <w:p w14:paraId="488901B8">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shd w:val="clear" w:color="auto" w:fill="FFFFFF"/>
        </w:rPr>
      </w:pPr>
      <w:r>
        <w:rPr>
          <w:rFonts w:cs="方正仿宋_GBK" w:asciiTheme="minorEastAsia" w:hAnsiTheme="minorEastAsia" w:eastAsiaTheme="minorEastAsia"/>
          <w:sz w:val="30"/>
          <w:szCs w:val="30"/>
          <w:shd w:val="clear" w:color="auto" w:fill="FFFFFF"/>
        </w:rPr>
        <w:t>（</w:t>
      </w:r>
      <w:r>
        <w:rPr>
          <w:rFonts w:asciiTheme="minorEastAsia" w:hAnsiTheme="minorEastAsia" w:eastAsiaTheme="minorEastAsia"/>
          <w:sz w:val="30"/>
          <w:szCs w:val="30"/>
          <w:shd w:val="clear" w:color="auto" w:fill="FFFFFF"/>
        </w:rPr>
        <w:t>1</w:t>
      </w:r>
      <w:r>
        <w:rPr>
          <w:rFonts w:cs="方正仿宋_GBK" w:asciiTheme="minorEastAsia" w:hAnsiTheme="minorEastAsia" w:eastAsiaTheme="minorEastAsia"/>
          <w:sz w:val="30"/>
          <w:szCs w:val="30"/>
          <w:shd w:val="clear" w:color="auto" w:fill="FFFFFF"/>
        </w:rPr>
        <w:t>）社会保障和就业支出</w:t>
      </w:r>
      <w:r>
        <w:rPr>
          <w:rFonts w:hint="default" w:asciiTheme="minorEastAsia" w:hAnsiTheme="minorEastAsia" w:eastAsiaTheme="minorEastAsia"/>
          <w:sz w:val="30"/>
          <w:szCs w:val="30"/>
          <w:shd w:val="clear" w:color="auto" w:fill="FFFFFF"/>
        </w:rPr>
        <w:t>70.89</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1.9%</w:t>
      </w:r>
      <w:r>
        <w:rPr>
          <w:rFonts w:cs="方正仿宋_GBK" w:asciiTheme="minorEastAsia" w:hAnsiTheme="minorEastAsia" w:eastAsiaTheme="minorEastAsia"/>
          <w:sz w:val="30"/>
          <w:szCs w:val="30"/>
          <w:shd w:val="clear" w:color="auto" w:fill="FFFFFF"/>
        </w:rPr>
        <w:t>，</w:t>
      </w:r>
      <w:r>
        <w:rPr>
          <w:rFonts w:hint="default" w:asciiTheme="minorEastAsia" w:hAnsiTheme="minorEastAsia" w:eastAsiaTheme="minorEastAsia"/>
          <w:sz w:val="30"/>
          <w:szCs w:val="30"/>
          <w:shd w:val="clear" w:color="auto" w:fill="FFFFFF"/>
        </w:rPr>
        <w:t>较年初预算数增加17.83万元，增长33.6%</w:t>
      </w:r>
      <w:r>
        <w:rPr>
          <w:rFonts w:cs="方正仿宋_GBK" w:asciiTheme="minorEastAsia" w:hAnsiTheme="minorEastAsia" w:eastAsiaTheme="minorEastAsia"/>
          <w:sz w:val="30"/>
          <w:szCs w:val="30"/>
          <w:shd w:val="clear" w:color="auto" w:fill="FFFFFF"/>
        </w:rPr>
        <w:t>，主要原因</w:t>
      </w:r>
      <w:r>
        <w:rPr>
          <w:rFonts w:hint="eastAsia" w:cs="方正仿宋_GBK" w:asciiTheme="minorEastAsia" w:hAnsiTheme="minorEastAsia" w:eastAsiaTheme="minorEastAsia"/>
          <w:sz w:val="30"/>
          <w:szCs w:val="30"/>
          <w:shd w:val="clear" w:color="auto" w:fill="FFFFFF"/>
          <w:lang w:eastAsia="zh-CN"/>
        </w:rPr>
        <w:t>是单位</w:t>
      </w:r>
      <w:r>
        <w:rPr>
          <w:rFonts w:cs="方正仿宋_GBK" w:asciiTheme="minorEastAsia" w:hAnsiTheme="minorEastAsia" w:eastAsiaTheme="minorEastAsia"/>
          <w:sz w:val="30"/>
          <w:szCs w:val="30"/>
          <w:shd w:val="clear" w:color="auto" w:fill="FFFFFF"/>
        </w:rPr>
        <w:t>在职职工缴费基数提高，补缴了去年社保差额部分。</w:t>
      </w:r>
    </w:p>
    <w:p w14:paraId="0521D23D">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rPr>
      </w:pPr>
      <w:r>
        <w:rPr>
          <w:rFonts w:cs="方正仿宋_GBK" w:asciiTheme="minorEastAsia" w:hAnsiTheme="minorEastAsia" w:eastAsiaTheme="minorEastAsia"/>
          <w:sz w:val="30"/>
          <w:szCs w:val="30"/>
          <w:shd w:val="clear" w:color="auto" w:fill="FFFFFF"/>
        </w:rPr>
        <w:t>（</w:t>
      </w:r>
      <w:r>
        <w:rPr>
          <w:rFonts w:asciiTheme="minorEastAsia" w:hAnsiTheme="minorEastAsia" w:eastAsiaTheme="minorEastAsia"/>
          <w:sz w:val="30"/>
          <w:szCs w:val="30"/>
          <w:shd w:val="clear" w:color="auto" w:fill="FFFFFF"/>
        </w:rPr>
        <w:t>2</w:t>
      </w:r>
      <w:r>
        <w:rPr>
          <w:rFonts w:cs="方正仿宋_GBK" w:asciiTheme="minorEastAsia" w:hAnsiTheme="minorEastAsia" w:eastAsiaTheme="minorEastAsia"/>
          <w:sz w:val="30"/>
          <w:szCs w:val="30"/>
          <w:shd w:val="clear" w:color="auto" w:fill="FFFFFF"/>
        </w:rPr>
        <w:t>）卫生健康支出</w:t>
      </w:r>
      <w:r>
        <w:rPr>
          <w:rFonts w:hint="default" w:asciiTheme="minorEastAsia" w:hAnsiTheme="minorEastAsia" w:eastAsiaTheme="minorEastAsia"/>
          <w:sz w:val="30"/>
          <w:szCs w:val="30"/>
          <w:shd w:val="clear" w:color="auto" w:fill="FFFFFF"/>
        </w:rPr>
        <w:t>17.60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0.5%</w:t>
      </w:r>
      <w:r>
        <w:rPr>
          <w:rFonts w:cs="方正仿宋_GBK" w:asciiTheme="minorEastAsia" w:hAnsiTheme="minorEastAsia" w:eastAsiaTheme="minorEastAsia"/>
          <w:sz w:val="30"/>
          <w:szCs w:val="30"/>
          <w:shd w:val="clear" w:color="auto" w:fill="FFFFFF"/>
        </w:rPr>
        <w:t>，</w:t>
      </w:r>
      <w:r>
        <w:rPr>
          <w:rFonts w:hint="default" w:asciiTheme="minorEastAsia" w:hAnsiTheme="minorEastAsia" w:eastAsiaTheme="minorEastAsia"/>
          <w:sz w:val="30"/>
          <w:szCs w:val="30"/>
          <w:shd w:val="clear" w:color="auto" w:fill="FFFFFF"/>
        </w:rPr>
        <w:t>较年初预算数无增减</w:t>
      </w:r>
      <w:r>
        <w:rPr>
          <w:rFonts w:cs="方正仿宋_GBK" w:asciiTheme="minorEastAsia" w:hAnsiTheme="minorEastAsia" w:eastAsiaTheme="minorEastAsia"/>
          <w:sz w:val="30"/>
          <w:szCs w:val="30"/>
          <w:shd w:val="clear" w:color="auto" w:fill="FFFFFF"/>
        </w:rPr>
        <w:t>。</w:t>
      </w:r>
    </w:p>
    <w:p w14:paraId="6B3C5FC0">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color w:val="FF0000"/>
          <w:sz w:val="30"/>
          <w:szCs w:val="30"/>
          <w:shd w:val="clear" w:color="auto" w:fill="FFFFFF"/>
        </w:rPr>
      </w:pPr>
      <w:r>
        <w:rPr>
          <w:rFonts w:cs="方正仿宋_GBK" w:asciiTheme="minorEastAsia" w:hAnsiTheme="minorEastAsia" w:eastAsiaTheme="minorEastAsia"/>
          <w:sz w:val="30"/>
          <w:szCs w:val="30"/>
          <w:shd w:val="clear" w:color="auto" w:fill="FFFFFF"/>
        </w:rPr>
        <w:t>（</w:t>
      </w:r>
      <w:r>
        <w:rPr>
          <w:rFonts w:hint="default" w:asciiTheme="minorEastAsia" w:hAnsiTheme="minorEastAsia" w:eastAsiaTheme="minorEastAsia"/>
          <w:sz w:val="30"/>
          <w:szCs w:val="30"/>
          <w:shd w:val="clear" w:color="auto" w:fill="FFFFFF"/>
        </w:rPr>
        <w:t>3</w:t>
      </w:r>
      <w:r>
        <w:rPr>
          <w:rFonts w:cs="方正仿宋_GBK" w:asciiTheme="minorEastAsia" w:hAnsiTheme="minorEastAsia" w:eastAsiaTheme="minorEastAsia"/>
          <w:sz w:val="30"/>
          <w:szCs w:val="30"/>
          <w:shd w:val="clear" w:color="auto" w:fill="FFFFFF"/>
        </w:rPr>
        <w:t>）交通运输支出</w:t>
      </w:r>
      <w:r>
        <w:rPr>
          <w:rFonts w:hint="default" w:asciiTheme="minorEastAsia" w:hAnsiTheme="minorEastAsia" w:eastAsiaTheme="minorEastAsia"/>
          <w:sz w:val="30"/>
          <w:szCs w:val="30"/>
          <w:shd w:val="clear" w:color="auto" w:fill="FFFFFF"/>
        </w:rPr>
        <w:t>3673.80</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97.3%</w:t>
      </w:r>
      <w:r>
        <w:rPr>
          <w:rFonts w:cs="方正仿宋_GBK" w:asciiTheme="minorEastAsia" w:hAnsiTheme="minorEastAsia" w:eastAsiaTheme="minorEastAsia"/>
          <w:sz w:val="30"/>
          <w:szCs w:val="30"/>
          <w:shd w:val="clear" w:color="auto" w:fill="FFFFFF"/>
        </w:rPr>
        <w:t>，</w:t>
      </w:r>
      <w:r>
        <w:rPr>
          <w:rFonts w:hint="default" w:asciiTheme="minorEastAsia" w:hAnsiTheme="minorEastAsia" w:eastAsiaTheme="minorEastAsia"/>
          <w:sz w:val="30"/>
          <w:szCs w:val="30"/>
          <w:shd w:val="clear" w:color="auto" w:fill="FFFFFF"/>
        </w:rPr>
        <w:t>较年初预算数增加1197.43万元，增长48.4%</w:t>
      </w:r>
      <w:r>
        <w:rPr>
          <w:rFonts w:cs="方正仿宋_GBK" w:asciiTheme="minorEastAsia" w:hAnsiTheme="minorEastAsia" w:eastAsiaTheme="minorEastAsia"/>
          <w:sz w:val="30"/>
          <w:szCs w:val="30"/>
          <w:shd w:val="clear" w:color="auto" w:fill="FFFFFF"/>
        </w:rPr>
        <w:t>，主要原因是年中对往年的各种公交补贴进行了清算，追加了预算支出</w:t>
      </w:r>
      <w:r>
        <w:rPr>
          <w:rFonts w:cs="方正仿宋_GBK" w:asciiTheme="minorEastAsia" w:hAnsiTheme="minorEastAsia" w:eastAsiaTheme="minorEastAsia"/>
          <w:color w:val="000000" w:themeColor="text1"/>
          <w:sz w:val="30"/>
          <w:szCs w:val="30"/>
          <w:shd w:val="clear" w:color="auto" w:fill="FFFFFF"/>
        </w:rPr>
        <w:t>。</w:t>
      </w:r>
    </w:p>
    <w:p w14:paraId="3AB349DA">
      <w:pPr>
        <w:spacing w:line="596" w:lineRule="exact"/>
        <w:ind w:firstLine="600" w:firstLineChars="200"/>
        <w:jc w:val="both"/>
        <w:rPr>
          <w:rFonts w:hint="default" w:cs="方正仿宋_GBK" w:asciiTheme="minorEastAsia" w:hAnsiTheme="minorEastAsia" w:eastAsiaTheme="minorEastAsia"/>
          <w:color w:val="FF0000"/>
          <w:sz w:val="30"/>
          <w:szCs w:val="30"/>
          <w:shd w:val="clear" w:color="auto" w:fill="FFFFFF"/>
        </w:rPr>
      </w:pPr>
      <w:r>
        <w:rPr>
          <w:rFonts w:cs="方正仿宋_GBK" w:asciiTheme="minorEastAsia" w:hAnsiTheme="minorEastAsia" w:eastAsiaTheme="minorEastAsia"/>
          <w:sz w:val="30"/>
          <w:szCs w:val="30"/>
          <w:shd w:val="clear" w:color="auto" w:fill="FFFFFF"/>
        </w:rPr>
        <w:t>（</w:t>
      </w:r>
      <w:r>
        <w:rPr>
          <w:rFonts w:asciiTheme="minorEastAsia" w:hAnsiTheme="minorEastAsia" w:eastAsiaTheme="minorEastAsia"/>
          <w:sz w:val="30"/>
          <w:szCs w:val="30"/>
          <w:shd w:val="clear" w:color="auto" w:fill="FFFFFF"/>
        </w:rPr>
        <w:t>4</w:t>
      </w:r>
      <w:r>
        <w:rPr>
          <w:rFonts w:cs="方正仿宋_GBK" w:asciiTheme="minorEastAsia" w:hAnsiTheme="minorEastAsia" w:eastAsiaTheme="minorEastAsia"/>
          <w:sz w:val="30"/>
          <w:szCs w:val="30"/>
          <w:shd w:val="clear" w:color="auto" w:fill="FFFFFF"/>
        </w:rPr>
        <w:t>）</w:t>
      </w:r>
      <w:r>
        <w:rPr>
          <w:rFonts w:cs="方正仿宋_GBK" w:asciiTheme="minorEastAsia" w:hAnsiTheme="minorEastAsia" w:eastAsiaTheme="minorEastAsia"/>
          <w:sz w:val="30"/>
          <w:szCs w:val="30"/>
        </w:rPr>
        <w:t>住房保障支出</w:t>
      </w:r>
      <w:r>
        <w:rPr>
          <w:rFonts w:hint="default" w:asciiTheme="minorEastAsia" w:hAnsiTheme="minorEastAsia" w:eastAsiaTheme="minorEastAsia"/>
          <w:sz w:val="30"/>
          <w:szCs w:val="30"/>
          <w:shd w:val="clear" w:color="auto" w:fill="FFFFFF"/>
        </w:rPr>
        <w:t>15.21</w:t>
      </w:r>
      <w:r>
        <w:rPr>
          <w:rFonts w:cs="方正仿宋_GBK" w:asciiTheme="minorEastAsia" w:hAnsiTheme="minorEastAsia" w:eastAsiaTheme="minorEastAsia"/>
          <w:sz w:val="30"/>
          <w:szCs w:val="30"/>
          <w:shd w:val="clear" w:color="auto" w:fill="FFFFFF"/>
        </w:rPr>
        <w:t>万元，占</w:t>
      </w:r>
      <w:r>
        <w:rPr>
          <w:rFonts w:hint="default" w:asciiTheme="minorEastAsia" w:hAnsiTheme="minorEastAsia" w:eastAsiaTheme="minorEastAsia"/>
          <w:sz w:val="30"/>
          <w:szCs w:val="30"/>
          <w:shd w:val="clear" w:color="auto" w:fill="FFFFFF"/>
        </w:rPr>
        <w:t>0.4%</w:t>
      </w:r>
      <w:r>
        <w:rPr>
          <w:rFonts w:cs="方正仿宋_GBK" w:asciiTheme="minorEastAsia" w:hAnsiTheme="minorEastAsia" w:eastAsiaTheme="minorEastAsia"/>
          <w:sz w:val="30"/>
          <w:szCs w:val="30"/>
          <w:shd w:val="clear" w:color="auto" w:fill="FFFFFF"/>
        </w:rPr>
        <w:t>，</w:t>
      </w:r>
      <w:r>
        <w:rPr>
          <w:rFonts w:hint="default" w:asciiTheme="minorEastAsia" w:hAnsiTheme="minorEastAsia" w:eastAsiaTheme="minorEastAsia"/>
          <w:sz w:val="30"/>
          <w:szCs w:val="30"/>
          <w:shd w:val="clear" w:color="auto" w:fill="FFFFFF"/>
        </w:rPr>
        <w:t>较年初预算数无增减</w:t>
      </w:r>
      <w:r>
        <w:rPr>
          <w:rFonts w:cs="方正仿宋_GBK" w:asciiTheme="minorEastAsia" w:hAnsiTheme="minorEastAsia" w:eastAsiaTheme="minorEastAsia"/>
          <w:sz w:val="30"/>
          <w:szCs w:val="30"/>
          <w:shd w:val="clear" w:color="auto" w:fill="FFFFFF"/>
        </w:rPr>
        <w:t>。</w:t>
      </w:r>
    </w:p>
    <w:p w14:paraId="5CA2AC97">
      <w:pPr>
        <w:pStyle w:val="9"/>
        <w:snapToGrid w:val="0"/>
        <w:spacing w:before="0" w:beforeAutospacing="0" w:after="0" w:afterAutospacing="0" w:line="596" w:lineRule="exact"/>
        <w:ind w:firstLine="602" w:firstLineChars="200"/>
        <w:jc w:val="both"/>
        <w:rPr>
          <w:rFonts w:hint="default" w:cs="方正仿宋_GBK" w:asciiTheme="minorEastAsia" w:hAnsiTheme="minorEastAsia" w:eastAsiaTheme="minorEastAsia"/>
          <w:sz w:val="30"/>
          <w:szCs w:val="30"/>
        </w:rPr>
      </w:pPr>
      <w:r>
        <w:rPr>
          <w:rStyle w:val="13"/>
          <w:rFonts w:hint="default" w:asciiTheme="minorEastAsia" w:hAnsiTheme="minorEastAsia" w:eastAsiaTheme="minorEastAsia"/>
          <w:sz w:val="30"/>
          <w:szCs w:val="30"/>
          <w:shd w:val="clear" w:color="auto" w:fill="FFFFFF"/>
        </w:rPr>
        <w:t>3</w:t>
      </w:r>
      <w:r>
        <w:rPr>
          <w:rStyle w:val="13"/>
          <w:rFonts w:cs="方正仿宋_GBK" w:asciiTheme="minorEastAsia" w:hAnsiTheme="minorEastAsia" w:eastAsiaTheme="minorEastAsia"/>
          <w:sz w:val="30"/>
          <w:szCs w:val="30"/>
          <w:shd w:val="clear" w:color="auto" w:fill="FFFFFF"/>
        </w:rPr>
        <w:t>.结转结余情况。</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年度年末一般公共预算财政拨款结转和结余</w:t>
      </w:r>
      <w:r>
        <w:rPr>
          <w:rFonts w:hint="default" w:asciiTheme="minorEastAsia" w:hAnsiTheme="minorEastAsia" w:eastAsiaTheme="minorEastAsia"/>
          <w:sz w:val="30"/>
          <w:szCs w:val="30"/>
          <w:shd w:val="clear" w:color="auto" w:fill="FFFFFF"/>
        </w:rPr>
        <w:t>11.65</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与2023年度相比，无增减</w:t>
      </w:r>
      <w:r>
        <w:rPr>
          <w:rFonts w:cs="方正仿宋_GBK" w:asciiTheme="minorEastAsia" w:hAnsiTheme="minorEastAsia" w:eastAsiaTheme="minorEastAsia"/>
          <w:sz w:val="30"/>
          <w:szCs w:val="30"/>
          <w:shd w:val="clear" w:color="auto" w:fill="FFFFFF"/>
        </w:rPr>
        <w:t>，主要原因是燃油补贴工作经费暂无费用发生。</w:t>
      </w:r>
    </w:p>
    <w:p w14:paraId="6BD1977A">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（四）一般公共预算财政拨款基本支出决算情况说明</w:t>
      </w:r>
    </w:p>
    <w:p w14:paraId="2B745B78">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shd w:val="clear" w:color="auto" w:fill="FFFFFF"/>
        </w:rPr>
      </w:pP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年度一般公共财政拨款基本支出</w:t>
      </w:r>
      <w:r>
        <w:rPr>
          <w:rFonts w:hint="default" w:asciiTheme="minorEastAsia" w:hAnsiTheme="minorEastAsia" w:eastAsiaTheme="minorEastAsia"/>
          <w:sz w:val="30"/>
          <w:szCs w:val="30"/>
          <w:shd w:val="clear" w:color="auto" w:fill="FFFFFF"/>
        </w:rPr>
        <w:t>382.99</w:t>
      </w:r>
      <w:r>
        <w:rPr>
          <w:rFonts w:cs="方正仿宋_GBK" w:asciiTheme="minorEastAsia" w:hAnsiTheme="minorEastAsia" w:eastAsiaTheme="minorEastAsia"/>
          <w:sz w:val="30"/>
          <w:szCs w:val="30"/>
          <w:shd w:val="clear" w:color="auto" w:fill="FFFFFF"/>
        </w:rPr>
        <w:t>万元。其中：人员经费</w:t>
      </w:r>
      <w:r>
        <w:rPr>
          <w:rFonts w:asciiTheme="minorEastAsia" w:hAnsiTheme="minorEastAsia" w:eastAsiaTheme="minorEastAsia"/>
          <w:sz w:val="30"/>
          <w:szCs w:val="30"/>
          <w:shd w:val="clear" w:color="auto" w:fill="FFFFFF"/>
        </w:rPr>
        <w:t>328.14</w:t>
      </w:r>
      <w:r>
        <w:rPr>
          <w:rFonts w:cs="方正仿宋_GBK" w:asciiTheme="minorEastAsia" w:hAnsiTheme="minorEastAsia" w:eastAsiaTheme="minorEastAsia"/>
          <w:sz w:val="30"/>
          <w:szCs w:val="30"/>
          <w:shd w:val="clear" w:color="auto" w:fill="FFFFFF"/>
        </w:rPr>
        <w:t>万元，</w:t>
      </w:r>
      <w:r>
        <w:rPr>
          <w:rFonts w:asciiTheme="minorEastAsia" w:hAnsiTheme="minorEastAsia" w:eastAsiaTheme="minorEastAsia"/>
          <w:sz w:val="30"/>
          <w:szCs w:val="30"/>
          <w:shd w:val="clear" w:color="auto" w:fill="FFFFFF"/>
        </w:rPr>
        <w:t>与2023年度相比，增加13.46万元，增长4.3%</w:t>
      </w:r>
      <w:r>
        <w:rPr>
          <w:rFonts w:cs="方正仿宋_GBK" w:asciiTheme="minorEastAsia" w:hAnsiTheme="minorEastAsia" w:eastAsiaTheme="minorEastAsia"/>
          <w:sz w:val="30"/>
          <w:szCs w:val="30"/>
          <w:shd w:val="clear" w:color="auto" w:fill="FFFFFF"/>
        </w:rPr>
        <w:t>，主要原因是单位在职职工缴费基数提高，补缴了去年社保差额部分。人员经费用途主要包括基本工资、津贴补贴、绩效工资、社会保障缴费</w:t>
      </w:r>
      <w:r>
        <w:rPr>
          <w:rFonts w:hint="eastAsia" w:cs="方正仿宋_GBK" w:asciiTheme="minorEastAsia" w:hAnsiTheme="minorEastAsia" w:eastAsiaTheme="minorEastAsia"/>
          <w:sz w:val="30"/>
          <w:szCs w:val="30"/>
          <w:shd w:val="clear" w:color="auto" w:fill="FFFFFF"/>
          <w:lang w:eastAsia="zh-CN"/>
        </w:rPr>
        <w:t>等</w:t>
      </w:r>
      <w:r>
        <w:rPr>
          <w:rFonts w:cs="方正仿宋_GBK" w:asciiTheme="minorEastAsia" w:hAnsiTheme="minorEastAsia" w:eastAsiaTheme="minorEastAsia"/>
          <w:sz w:val="30"/>
          <w:szCs w:val="30"/>
          <w:shd w:val="clear" w:color="auto" w:fill="FFFFFF"/>
        </w:rPr>
        <w:t>。公用经费</w:t>
      </w:r>
      <w:r>
        <w:rPr>
          <w:rFonts w:asciiTheme="minorEastAsia" w:hAnsiTheme="minorEastAsia" w:eastAsiaTheme="minorEastAsia"/>
          <w:sz w:val="30"/>
          <w:szCs w:val="30"/>
          <w:shd w:val="clear" w:color="auto" w:fill="FFFFFF"/>
        </w:rPr>
        <w:t>54.85</w:t>
      </w:r>
      <w:r>
        <w:rPr>
          <w:rFonts w:cs="方正仿宋_GBK" w:asciiTheme="minorEastAsia" w:hAnsiTheme="minorEastAsia" w:eastAsiaTheme="minorEastAsia"/>
          <w:sz w:val="30"/>
          <w:szCs w:val="30"/>
          <w:shd w:val="clear" w:color="auto" w:fill="FFFFFF"/>
        </w:rPr>
        <w:t>万元，</w:t>
      </w:r>
      <w:r>
        <w:rPr>
          <w:rFonts w:asciiTheme="minorEastAsia" w:hAnsiTheme="minorEastAsia" w:eastAsiaTheme="minorEastAsia"/>
          <w:sz w:val="30"/>
          <w:szCs w:val="30"/>
          <w:shd w:val="clear" w:color="auto" w:fill="FFFFFF"/>
        </w:rPr>
        <w:t>与2023年度相比，增加18.31万元，增长50.1%</w:t>
      </w:r>
      <w:r>
        <w:rPr>
          <w:rFonts w:cs="方正仿宋_GBK" w:asciiTheme="minorEastAsia" w:hAnsiTheme="minorEastAsia" w:eastAsiaTheme="minorEastAsia"/>
          <w:sz w:val="30"/>
          <w:szCs w:val="30"/>
          <w:shd w:val="clear" w:color="auto" w:fill="FFFFFF"/>
        </w:rPr>
        <w:t>，主要原因是今年任务重，工作量增大，开支增大。公用经费用途主要包括办公费、邮电费、手续费、水电费、差旅费、维修费、福利费、劳务费、公务</w:t>
      </w:r>
      <w:r>
        <w:rPr>
          <w:rFonts w:hint="eastAsia" w:cs="方正仿宋_GBK" w:asciiTheme="minorEastAsia" w:hAnsiTheme="minorEastAsia" w:eastAsiaTheme="minorEastAsia"/>
          <w:sz w:val="30"/>
          <w:szCs w:val="30"/>
          <w:shd w:val="clear" w:color="auto" w:fill="FFFFFF"/>
          <w:lang w:eastAsia="zh-CN"/>
        </w:rPr>
        <w:t>接待费</w:t>
      </w:r>
      <w:r>
        <w:rPr>
          <w:rFonts w:cs="方正仿宋_GBK" w:asciiTheme="minorEastAsia" w:hAnsiTheme="minorEastAsia" w:eastAsiaTheme="minorEastAsia"/>
          <w:sz w:val="30"/>
          <w:szCs w:val="30"/>
          <w:shd w:val="clear" w:color="auto" w:fill="FFFFFF"/>
        </w:rPr>
        <w:t>、公务用车运行维护费</w:t>
      </w:r>
      <w:r>
        <w:rPr>
          <w:rFonts w:hint="eastAsia" w:cs="方正仿宋_GBK" w:asciiTheme="minorEastAsia" w:hAnsiTheme="minorEastAsia" w:eastAsiaTheme="minorEastAsia"/>
          <w:sz w:val="30"/>
          <w:szCs w:val="30"/>
          <w:shd w:val="clear" w:color="auto" w:fill="FFFFFF"/>
          <w:lang w:eastAsia="zh-CN"/>
        </w:rPr>
        <w:t>等</w:t>
      </w:r>
      <w:r>
        <w:rPr>
          <w:rFonts w:cs="方正仿宋_GBK" w:asciiTheme="minorEastAsia" w:hAnsiTheme="minorEastAsia" w:eastAsiaTheme="minorEastAsia"/>
          <w:sz w:val="30"/>
          <w:szCs w:val="30"/>
          <w:shd w:val="clear" w:color="auto" w:fill="FFFFFF"/>
        </w:rPr>
        <w:t>。</w:t>
      </w:r>
    </w:p>
    <w:p w14:paraId="326C2D12">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（五）政府性基金预算收支决算情况说明</w:t>
      </w:r>
    </w:p>
    <w:p w14:paraId="140B86DC">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color w:val="FF0000"/>
          <w:sz w:val="30"/>
          <w:szCs w:val="30"/>
          <w:shd w:val="clear" w:color="auto" w:fill="FFFFFF"/>
        </w:rPr>
      </w:pPr>
      <w:r>
        <w:rPr>
          <w:rFonts w:asciiTheme="minorEastAsia" w:hAnsiTheme="minorEastAsia" w:eastAsiaTheme="minorEastAsia"/>
          <w:sz w:val="30"/>
          <w:szCs w:val="30"/>
          <w:shd w:val="clear" w:color="auto" w:fill="FFFFFF"/>
        </w:rPr>
        <w:t>本单位</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年度无政府性基金预算财政拨款</w:t>
      </w:r>
      <w:r>
        <w:rPr>
          <w:rFonts w:hint="eastAsia" w:cs="方正仿宋_GBK" w:asciiTheme="minorEastAsia" w:hAnsiTheme="minorEastAsia" w:eastAsiaTheme="minorEastAsia"/>
          <w:sz w:val="30"/>
          <w:szCs w:val="30"/>
          <w:shd w:val="clear" w:color="auto" w:fill="FFFFFF"/>
          <w:lang w:eastAsia="zh-CN"/>
        </w:rPr>
        <w:t>收支。</w:t>
      </w:r>
    </w:p>
    <w:p w14:paraId="116A59C9">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（六）国有资本经营预算财政拨款支出决算情况说明</w:t>
      </w:r>
    </w:p>
    <w:p w14:paraId="29A3C415">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本单位2024年度无国有资本经营预算财政拨款支出。</w:t>
      </w:r>
    </w:p>
    <w:p w14:paraId="4701E8A7">
      <w:pPr>
        <w:pStyle w:val="9"/>
        <w:shd w:val="clear" w:color="auto" w:fill="FFFFFF"/>
        <w:spacing w:before="0" w:beforeAutospacing="0" w:after="0" w:afterAutospacing="0" w:line="596" w:lineRule="exact"/>
        <w:ind w:firstLine="602" w:firstLineChars="200"/>
        <w:rPr>
          <w:rStyle w:val="13"/>
          <w:rFonts w:hint="default" w:cs="黑体" w:asciiTheme="minorEastAsia" w:hAnsiTheme="minorEastAsia" w:eastAsiaTheme="minorEastAsia"/>
          <w:sz w:val="30"/>
          <w:szCs w:val="30"/>
          <w:shd w:val="clear" w:color="auto" w:fill="FFFFFF"/>
        </w:rPr>
      </w:pPr>
      <w:r>
        <w:rPr>
          <w:rStyle w:val="13"/>
          <w:rFonts w:cs="黑体" w:asciiTheme="minorEastAsia" w:hAnsiTheme="minorEastAsia" w:eastAsiaTheme="minorEastAsia"/>
          <w:sz w:val="30"/>
          <w:szCs w:val="30"/>
          <w:shd w:val="clear" w:color="auto" w:fill="FFFFFF"/>
        </w:rPr>
        <w:t>三、财政拨款“三公”经费情况说明</w:t>
      </w:r>
    </w:p>
    <w:p w14:paraId="6DE5C4AC">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（一）“三公”经费支出总体情况说明</w:t>
      </w:r>
    </w:p>
    <w:p w14:paraId="688FDE3C">
      <w:pPr>
        <w:pStyle w:val="15"/>
        <w:spacing w:before="0" w:beforeAutospacing="0"/>
        <w:ind w:firstLine="900" w:firstLineChars="300"/>
        <w:rPr>
          <w:rFonts w:cs="方正仿宋_GBK" w:asciiTheme="minorEastAsia" w:hAnsiTheme="minorEastAsia" w:eastAsiaTheme="minorEastAsia"/>
          <w:sz w:val="30"/>
          <w:szCs w:val="30"/>
          <w:shd w:val="clear" w:color="auto" w:fill="FFFFFF"/>
        </w:rPr>
      </w:pPr>
      <w:r>
        <w:rPr>
          <w:rFonts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年度“三公”经费支出共计</w:t>
      </w:r>
      <w:r>
        <w:rPr>
          <w:rFonts w:asciiTheme="minorEastAsia" w:hAnsiTheme="minorEastAsia" w:eastAsiaTheme="minorEastAsia"/>
          <w:sz w:val="30"/>
          <w:szCs w:val="30"/>
          <w:shd w:val="clear" w:color="auto" w:fill="FFFFFF"/>
        </w:rPr>
        <w:t>1.70</w:t>
      </w:r>
      <w:r>
        <w:rPr>
          <w:rFonts w:cs="方正仿宋_GBK" w:asciiTheme="minorEastAsia" w:hAnsiTheme="minorEastAsia" w:eastAsiaTheme="minorEastAsia"/>
          <w:sz w:val="30"/>
          <w:szCs w:val="30"/>
          <w:shd w:val="clear" w:color="auto" w:fill="FFFFFF"/>
        </w:rPr>
        <w:t>万元，</w:t>
      </w:r>
      <w:r>
        <w:rPr>
          <w:rFonts w:asciiTheme="minorEastAsia" w:hAnsiTheme="minorEastAsia" w:eastAsiaTheme="minorEastAsia"/>
          <w:sz w:val="30"/>
          <w:szCs w:val="30"/>
          <w:shd w:val="clear" w:color="auto" w:fill="FFFFFF"/>
        </w:rPr>
        <w:t>较年初预算数减少2.50万元，下降59.5%</w:t>
      </w:r>
      <w:r>
        <w:rPr>
          <w:rFonts w:cs="方正仿宋_GBK" w:asciiTheme="minorEastAsia" w:hAnsiTheme="minorEastAsia" w:eastAsiaTheme="minorEastAsia"/>
          <w:sz w:val="30"/>
          <w:szCs w:val="30"/>
          <w:shd w:val="clear" w:color="auto" w:fill="FFFFFF"/>
        </w:rPr>
        <w:t>，主要原因是</w:t>
      </w:r>
      <w:r>
        <w:rPr>
          <w:rFonts w:hint="eastAsia" w:cs="方正仿宋_GBK" w:asciiTheme="minorEastAsia" w:hAnsiTheme="minorEastAsia" w:eastAsiaTheme="minorEastAsia"/>
          <w:sz w:val="30"/>
          <w:szCs w:val="30"/>
          <w:shd w:val="clear" w:color="auto" w:fill="FFFFFF"/>
        </w:rPr>
        <w:t>部分费用暂时未结账。</w:t>
      </w:r>
      <w:r>
        <w:rPr>
          <w:rFonts w:asciiTheme="minorEastAsia" w:hAnsiTheme="minorEastAsia" w:eastAsiaTheme="minorEastAsia"/>
          <w:sz w:val="30"/>
          <w:szCs w:val="30"/>
          <w:shd w:val="clear" w:color="auto" w:fill="FFFFFF"/>
        </w:rPr>
        <w:t>较上年支出数减少1.98万元，下降53.8%</w:t>
      </w:r>
      <w:r>
        <w:rPr>
          <w:rFonts w:cs="方正仿宋_GBK" w:asciiTheme="minorEastAsia" w:hAnsiTheme="minorEastAsia" w:eastAsiaTheme="minorEastAsia"/>
          <w:sz w:val="30"/>
          <w:szCs w:val="30"/>
          <w:shd w:val="clear" w:color="auto" w:fill="FFFFFF"/>
        </w:rPr>
        <w:t>，主要原因是去年年末储存了公务车油卡，今年油费开支减少。</w:t>
      </w:r>
    </w:p>
    <w:p w14:paraId="6F4CF8F3">
      <w:pPr>
        <w:pStyle w:val="15"/>
        <w:spacing w:before="0" w:beforeAutospacing="0"/>
        <w:ind w:firstLine="452" w:firstLineChars="150"/>
        <w:rPr>
          <w:rFonts w:cs="宋体" w:asciiTheme="minorEastAsia" w:hAnsiTheme="minorEastAsia" w:eastAsiaTheme="minorEastAsia"/>
          <w:sz w:val="30"/>
          <w:szCs w:val="30"/>
        </w:rPr>
      </w:pPr>
      <w:r>
        <w:rPr>
          <w:rFonts w:hint="eastAsia" w:cs="楷体" w:asciiTheme="minorEastAsia" w:hAnsiTheme="minorEastAsia" w:eastAsiaTheme="minorEastAsia"/>
          <w:b/>
          <w:bCs/>
          <w:sz w:val="30"/>
          <w:szCs w:val="30"/>
          <w:shd w:val="clear" w:color="auto" w:fill="FFFFFF"/>
        </w:rPr>
        <w:t>（二）“三公”经费分项支出情况</w:t>
      </w:r>
    </w:p>
    <w:p w14:paraId="7DB526E0">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rPr>
      </w:pP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年度本单位未发生因公出国（境）费用</w:t>
      </w:r>
      <w:r>
        <w:rPr>
          <w:rFonts w:asciiTheme="minorEastAsia" w:hAnsiTheme="minorEastAsia" w:eastAsiaTheme="minorEastAsia"/>
          <w:sz w:val="30"/>
          <w:szCs w:val="30"/>
          <w:shd w:val="clear" w:color="auto" w:fill="FFFFFF"/>
        </w:rPr>
        <w:t>支出</w:t>
      </w:r>
      <w:r>
        <w:rPr>
          <w:rFonts w:hint="eastAsia" w:asciiTheme="minorEastAsia" w:hAnsiTheme="minorEastAsia" w:eastAsiaTheme="minorEastAsia"/>
          <w:sz w:val="30"/>
          <w:szCs w:val="30"/>
          <w:shd w:val="clear" w:color="auto" w:fill="FFFFFF"/>
          <w:lang w:eastAsia="zh-CN"/>
        </w:rPr>
        <w:t>，</w:t>
      </w:r>
      <w:r>
        <w:rPr>
          <w:rFonts w:asciiTheme="minorEastAsia" w:hAnsiTheme="minorEastAsia" w:eastAsiaTheme="minorEastAsia"/>
          <w:sz w:val="30"/>
          <w:szCs w:val="30"/>
          <w:shd w:val="clear" w:color="auto" w:fill="FFFFFF"/>
        </w:rPr>
        <w:t>与上年决算数持平。</w:t>
      </w:r>
    </w:p>
    <w:p w14:paraId="7D9FFE5F">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shd w:val="clear" w:color="auto" w:fill="FFFFFF"/>
        </w:rPr>
      </w:pPr>
      <w:r>
        <w:rPr>
          <w:rFonts w:cs="方正仿宋_GBK" w:asciiTheme="minorEastAsia" w:hAnsiTheme="minorEastAsia" w:eastAsiaTheme="minorEastAsia"/>
          <w:sz w:val="30"/>
          <w:szCs w:val="30"/>
          <w:shd w:val="clear" w:color="auto" w:fill="FFFFFF"/>
        </w:rPr>
        <w:t>2024年度本单位未发生公务用车购置费支出，与上年决算数持平。</w:t>
      </w:r>
    </w:p>
    <w:p w14:paraId="3E18091A">
      <w:pPr>
        <w:pStyle w:val="15"/>
        <w:spacing w:before="0" w:beforeAutospacing="0"/>
        <w:rPr>
          <w:rFonts w:cs="方正仿宋_GBK" w:asciiTheme="minorEastAsia" w:hAnsiTheme="minorEastAsia" w:eastAsiaTheme="minorEastAsia"/>
          <w:sz w:val="30"/>
          <w:szCs w:val="30"/>
          <w:shd w:val="clear" w:color="auto" w:fill="FFFFFF"/>
        </w:rPr>
      </w:pPr>
      <w:r>
        <w:rPr>
          <w:rFonts w:cs="方正仿宋_GBK" w:asciiTheme="minorEastAsia" w:hAnsiTheme="minorEastAsia" w:eastAsiaTheme="minorEastAsia"/>
          <w:sz w:val="30"/>
          <w:szCs w:val="30"/>
          <w:shd w:val="clear" w:color="auto" w:fill="FFFFFF"/>
        </w:rPr>
        <w:t>公务用车运行维护费</w:t>
      </w:r>
      <w:r>
        <w:rPr>
          <w:rFonts w:asciiTheme="minorEastAsia" w:hAnsiTheme="minorEastAsia" w:eastAsiaTheme="minorEastAsia"/>
          <w:sz w:val="30"/>
          <w:szCs w:val="30"/>
          <w:shd w:val="clear" w:color="auto" w:fill="FFFFFF"/>
        </w:rPr>
        <w:t>1.02</w:t>
      </w:r>
      <w:r>
        <w:rPr>
          <w:rFonts w:cs="方正仿宋_GBK" w:asciiTheme="minorEastAsia" w:hAnsiTheme="minorEastAsia" w:eastAsiaTheme="minorEastAsia"/>
          <w:sz w:val="30"/>
          <w:szCs w:val="30"/>
          <w:shd w:val="clear" w:color="auto" w:fill="FFFFFF"/>
        </w:rPr>
        <w:t>万元，主要用于</w:t>
      </w:r>
      <w:r>
        <w:rPr>
          <w:rFonts w:hint="eastAsia" w:cs="方正仿宋_GBK" w:asciiTheme="minorEastAsia" w:hAnsiTheme="minorEastAsia" w:eastAsiaTheme="minorEastAsia"/>
          <w:sz w:val="30"/>
          <w:szCs w:val="30"/>
          <w:shd w:val="clear" w:color="auto" w:fill="FFFFFF"/>
        </w:rPr>
        <w:t>行业安全检查用车油料费、维修费、保险费等。</w:t>
      </w:r>
      <w:r>
        <w:rPr>
          <w:rFonts w:cs="方正仿宋_GBK" w:asciiTheme="minorEastAsia" w:hAnsiTheme="minorEastAsia" w:eastAsiaTheme="minorEastAsia"/>
          <w:sz w:val="30"/>
          <w:szCs w:val="30"/>
          <w:shd w:val="clear" w:color="auto" w:fill="FFFFFF"/>
        </w:rPr>
        <w:t>费用支出</w:t>
      </w:r>
      <w:r>
        <w:rPr>
          <w:rFonts w:asciiTheme="minorEastAsia" w:hAnsiTheme="minorEastAsia" w:eastAsiaTheme="minorEastAsia"/>
          <w:sz w:val="30"/>
          <w:szCs w:val="30"/>
          <w:shd w:val="clear" w:color="auto" w:fill="FFFFFF"/>
        </w:rPr>
        <w:t>较年初预算数减少1.68万元，下降62.2%</w:t>
      </w:r>
      <w:r>
        <w:rPr>
          <w:rFonts w:cs="方正仿宋_GBK" w:asciiTheme="minorEastAsia" w:hAnsiTheme="minorEastAsia" w:eastAsiaTheme="minorEastAsia"/>
          <w:sz w:val="30"/>
          <w:szCs w:val="30"/>
          <w:shd w:val="clear" w:color="auto" w:fill="FFFFFF"/>
        </w:rPr>
        <w:t>，主要原因是</w:t>
      </w:r>
      <w:r>
        <w:rPr>
          <w:rFonts w:hint="eastAsia" w:cs="方正仿宋_GBK" w:asciiTheme="minorEastAsia" w:hAnsiTheme="minorEastAsia" w:eastAsiaTheme="minorEastAsia"/>
          <w:sz w:val="30"/>
          <w:szCs w:val="30"/>
          <w:shd w:val="clear" w:color="auto" w:fill="FFFFFF"/>
        </w:rPr>
        <w:t>部分费用暂时未结账。</w:t>
      </w:r>
      <w:r>
        <w:rPr>
          <w:rFonts w:asciiTheme="minorEastAsia" w:hAnsiTheme="minorEastAsia" w:eastAsiaTheme="minorEastAsia"/>
          <w:sz w:val="30"/>
          <w:szCs w:val="30"/>
          <w:shd w:val="clear" w:color="auto" w:fill="FFFFFF"/>
        </w:rPr>
        <w:t>较上年支出数减少1.22万元，下降54.5%</w:t>
      </w:r>
      <w:r>
        <w:rPr>
          <w:rFonts w:cs="方正仿宋_GBK" w:asciiTheme="minorEastAsia" w:hAnsiTheme="minorEastAsia" w:eastAsiaTheme="minorEastAsia"/>
          <w:sz w:val="30"/>
          <w:szCs w:val="30"/>
          <w:shd w:val="clear" w:color="auto" w:fill="FFFFFF"/>
        </w:rPr>
        <w:t>，主要原因是去年年末储存了公务车油卡，今年油费开支减少。</w:t>
      </w:r>
    </w:p>
    <w:p w14:paraId="1E232949">
      <w:pPr>
        <w:pStyle w:val="9"/>
        <w:snapToGrid w:val="0"/>
        <w:spacing w:line="600" w:lineRule="exact"/>
        <w:ind w:firstLine="600" w:firstLineChars="200"/>
        <w:jc w:val="both"/>
        <w:rPr>
          <w:rFonts w:hint="default" w:cs="方正仿宋_GBK" w:asciiTheme="minorEastAsia" w:hAnsiTheme="minorEastAsia" w:eastAsiaTheme="minorEastAsia"/>
          <w:sz w:val="30"/>
          <w:szCs w:val="30"/>
          <w:shd w:val="clear" w:color="auto" w:fill="FFFFFF"/>
        </w:rPr>
      </w:pPr>
      <w:r>
        <w:rPr>
          <w:rFonts w:cs="方正仿宋_GBK" w:asciiTheme="minorEastAsia" w:hAnsiTheme="minorEastAsia" w:eastAsiaTheme="minorEastAsia"/>
          <w:sz w:val="30"/>
          <w:szCs w:val="30"/>
          <w:shd w:val="clear" w:color="auto" w:fill="FFFFFF"/>
        </w:rPr>
        <w:t>公务接待费</w:t>
      </w:r>
      <w:r>
        <w:rPr>
          <w:rFonts w:hint="default" w:asciiTheme="minorEastAsia" w:hAnsiTheme="minorEastAsia" w:eastAsiaTheme="minorEastAsia"/>
          <w:sz w:val="30"/>
          <w:szCs w:val="30"/>
          <w:shd w:val="clear" w:color="auto" w:fill="FFFFFF"/>
        </w:rPr>
        <w:t>0.68</w:t>
      </w:r>
      <w:r>
        <w:rPr>
          <w:rFonts w:cs="方正仿宋_GBK" w:asciiTheme="minorEastAsia" w:hAnsiTheme="minorEastAsia" w:eastAsiaTheme="minorEastAsia"/>
          <w:sz w:val="30"/>
          <w:szCs w:val="30"/>
          <w:shd w:val="clear" w:color="auto" w:fill="FFFFFF"/>
        </w:rPr>
        <w:t>万元，主要</w:t>
      </w:r>
      <w:r>
        <w:rPr>
          <w:rFonts w:hint="eastAsia" w:cs="方正仿宋_GBK" w:asciiTheme="minorEastAsia" w:hAnsiTheme="minorEastAsia" w:eastAsiaTheme="minorEastAsia"/>
          <w:sz w:val="30"/>
          <w:szCs w:val="30"/>
          <w:shd w:val="clear" w:color="auto" w:fill="FFFFFF"/>
          <w:lang w:eastAsia="zh-CN"/>
        </w:rPr>
        <w:t>用于</w:t>
      </w:r>
      <w:r>
        <w:rPr>
          <w:rFonts w:cs="方正仿宋_GBK" w:asciiTheme="minorEastAsia" w:hAnsiTheme="minorEastAsia" w:eastAsiaTheme="minorEastAsia"/>
          <w:sz w:val="30"/>
          <w:szCs w:val="30"/>
          <w:shd w:val="clear" w:color="auto" w:fill="FFFFFF"/>
        </w:rPr>
        <w:t>按规定开支的各类公务</w:t>
      </w:r>
      <w:r>
        <w:rPr>
          <w:rFonts w:hint="eastAsia" w:cs="方正仿宋_GBK" w:asciiTheme="minorEastAsia" w:hAnsiTheme="minorEastAsia" w:eastAsiaTheme="minorEastAsia"/>
          <w:sz w:val="30"/>
          <w:szCs w:val="30"/>
          <w:shd w:val="clear" w:color="auto" w:fill="FFFFFF"/>
          <w:lang w:eastAsia="zh-CN"/>
        </w:rPr>
        <w:t>接待</w:t>
      </w:r>
      <w:r>
        <w:rPr>
          <w:rFonts w:cs="方正仿宋_GBK" w:asciiTheme="minorEastAsia" w:hAnsiTheme="minorEastAsia" w:eastAsiaTheme="minorEastAsia"/>
          <w:sz w:val="30"/>
          <w:szCs w:val="30"/>
          <w:shd w:val="clear" w:color="auto" w:fill="FFFFFF"/>
        </w:rPr>
        <w:t>。费用支出</w:t>
      </w:r>
      <w:r>
        <w:rPr>
          <w:rFonts w:hint="default" w:asciiTheme="minorEastAsia" w:hAnsiTheme="minorEastAsia" w:eastAsiaTheme="minorEastAsia"/>
          <w:sz w:val="30"/>
          <w:szCs w:val="30"/>
          <w:shd w:val="clear" w:color="auto" w:fill="FFFFFF"/>
        </w:rPr>
        <w:t>较年初预算数减少0.82万元，下降54.7%</w:t>
      </w:r>
      <w:r>
        <w:rPr>
          <w:rFonts w:cs="方正仿宋_GBK" w:asciiTheme="minorEastAsia" w:hAnsiTheme="minorEastAsia" w:eastAsiaTheme="minorEastAsia"/>
          <w:sz w:val="30"/>
          <w:szCs w:val="30"/>
          <w:shd w:val="clear" w:color="auto" w:fill="FFFFFF"/>
        </w:rPr>
        <w:t>，主要原因是严格把控接待标准，厉行节约大部分在食堂接待。</w:t>
      </w:r>
      <w:r>
        <w:rPr>
          <w:rFonts w:hint="default" w:asciiTheme="minorEastAsia" w:hAnsiTheme="minorEastAsia" w:eastAsiaTheme="minorEastAsia"/>
          <w:sz w:val="30"/>
          <w:szCs w:val="30"/>
          <w:shd w:val="clear" w:color="auto" w:fill="FFFFFF"/>
        </w:rPr>
        <w:t>较上年支出数减少0.76万元，下降52.8%</w:t>
      </w:r>
      <w:r>
        <w:rPr>
          <w:rFonts w:cs="方正仿宋_GBK" w:asciiTheme="minorEastAsia" w:hAnsiTheme="minorEastAsia" w:eastAsiaTheme="minorEastAsia"/>
          <w:sz w:val="30"/>
          <w:szCs w:val="30"/>
          <w:shd w:val="clear" w:color="auto" w:fill="FFFFFF"/>
        </w:rPr>
        <w:t>，主要原因是部分费用暂时未结账。</w:t>
      </w:r>
    </w:p>
    <w:p w14:paraId="5CA57D4C">
      <w:pPr>
        <w:pStyle w:val="9"/>
        <w:snapToGrid w:val="0"/>
        <w:spacing w:line="600" w:lineRule="exact"/>
        <w:ind w:firstLine="602" w:firstLineChars="200"/>
        <w:jc w:val="both"/>
        <w:rPr>
          <w:rFonts w:hint="default" w:asciiTheme="minorEastAsia" w:hAnsiTheme="minorEastAsia" w:eastAsiaTheme="minorEastAsia"/>
          <w:sz w:val="30"/>
          <w:szCs w:val="30"/>
        </w:rPr>
      </w:pPr>
      <w:r>
        <w:rPr>
          <w:rFonts w:cs="楷体" w:asciiTheme="minorEastAsia" w:hAnsiTheme="minorEastAsia" w:eastAsiaTheme="minorEastAsia"/>
          <w:b/>
          <w:bCs/>
          <w:sz w:val="30"/>
          <w:szCs w:val="30"/>
          <w:shd w:val="clear" w:color="auto" w:fill="FFFFFF"/>
        </w:rPr>
        <w:t>（三）“三公”经费实物量情况</w:t>
      </w:r>
    </w:p>
    <w:p w14:paraId="2F9E6EE9">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rPr>
      </w:pP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年度本单位因公出国（境）共计</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个团组，</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人；公务用车购置</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辆，公务车保有量为</w:t>
      </w:r>
      <w:r>
        <w:rPr>
          <w:rFonts w:hint="default" w:asciiTheme="minorEastAsia" w:hAnsiTheme="minorEastAsia" w:eastAsiaTheme="minorEastAsia"/>
          <w:sz w:val="30"/>
          <w:szCs w:val="30"/>
          <w:shd w:val="clear" w:color="auto" w:fill="FFFFFF"/>
        </w:rPr>
        <w:t>1</w:t>
      </w:r>
      <w:r>
        <w:rPr>
          <w:rFonts w:cs="方正仿宋_GBK" w:asciiTheme="minorEastAsia" w:hAnsiTheme="minorEastAsia" w:eastAsiaTheme="minorEastAsia"/>
          <w:sz w:val="30"/>
          <w:szCs w:val="30"/>
          <w:shd w:val="clear" w:color="auto" w:fill="FFFFFF"/>
        </w:rPr>
        <w:t>辆；国内公务接待</w:t>
      </w:r>
      <w:r>
        <w:rPr>
          <w:rFonts w:hint="default" w:asciiTheme="minorEastAsia" w:hAnsiTheme="minorEastAsia" w:eastAsiaTheme="minorEastAsia"/>
          <w:sz w:val="30"/>
          <w:szCs w:val="30"/>
          <w:shd w:val="clear" w:color="auto" w:fill="FFFFFF"/>
        </w:rPr>
        <w:t>6</w:t>
      </w:r>
      <w:r>
        <w:rPr>
          <w:rFonts w:cs="方正仿宋_GBK" w:asciiTheme="minorEastAsia" w:hAnsiTheme="minorEastAsia" w:eastAsiaTheme="minorEastAsia"/>
          <w:sz w:val="30"/>
          <w:szCs w:val="30"/>
          <w:shd w:val="clear" w:color="auto" w:fill="FFFFFF"/>
        </w:rPr>
        <w:t>批次</w:t>
      </w:r>
      <w:r>
        <w:rPr>
          <w:rFonts w:hint="default" w:asciiTheme="minorEastAsia" w:hAnsiTheme="minorEastAsia" w:eastAsiaTheme="minorEastAsia"/>
          <w:sz w:val="30"/>
          <w:szCs w:val="30"/>
          <w:shd w:val="clear" w:color="auto" w:fill="FFFFFF"/>
        </w:rPr>
        <w:t>36</w:t>
      </w:r>
      <w:r>
        <w:rPr>
          <w:rFonts w:cs="方正仿宋_GBK" w:asciiTheme="minorEastAsia" w:hAnsiTheme="minorEastAsia" w:eastAsiaTheme="minorEastAsia"/>
          <w:sz w:val="30"/>
          <w:szCs w:val="30"/>
          <w:shd w:val="clear" w:color="auto" w:fill="FFFFFF"/>
        </w:rPr>
        <w:t>人，其中：国内外事接待</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批次，</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人；国（境）外公务接待</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批次，</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人。</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年本单位人均接待费</w:t>
      </w:r>
      <w:r>
        <w:rPr>
          <w:rFonts w:hint="default" w:asciiTheme="minorEastAsia" w:hAnsiTheme="minorEastAsia" w:eastAsiaTheme="minorEastAsia"/>
          <w:sz w:val="30"/>
          <w:szCs w:val="30"/>
          <w:shd w:val="clear" w:color="auto" w:fill="FFFFFF"/>
        </w:rPr>
        <w:t>188.69</w:t>
      </w:r>
      <w:r>
        <w:rPr>
          <w:rFonts w:cs="方正仿宋_GBK" w:asciiTheme="minorEastAsia" w:hAnsiTheme="minorEastAsia" w:eastAsiaTheme="minorEastAsia"/>
          <w:sz w:val="30"/>
          <w:szCs w:val="30"/>
          <w:shd w:val="clear" w:color="auto" w:fill="FFFFFF"/>
        </w:rPr>
        <w:t>元，车均购置费</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万元，车均维护费</w:t>
      </w:r>
      <w:r>
        <w:rPr>
          <w:rFonts w:hint="default" w:asciiTheme="minorEastAsia" w:hAnsiTheme="minorEastAsia" w:eastAsiaTheme="minorEastAsia"/>
          <w:sz w:val="30"/>
          <w:szCs w:val="30"/>
          <w:shd w:val="clear" w:color="auto" w:fill="FFFFFF"/>
        </w:rPr>
        <w:t>1.02</w:t>
      </w:r>
      <w:r>
        <w:rPr>
          <w:rFonts w:cs="方正仿宋_GBK" w:asciiTheme="minorEastAsia" w:hAnsiTheme="minorEastAsia" w:eastAsiaTheme="minorEastAsia"/>
          <w:sz w:val="30"/>
          <w:szCs w:val="30"/>
          <w:shd w:val="clear" w:color="auto" w:fill="FFFFFF"/>
        </w:rPr>
        <w:t>万元。</w:t>
      </w:r>
    </w:p>
    <w:p w14:paraId="4E4B6EAD">
      <w:pPr>
        <w:pStyle w:val="9"/>
        <w:shd w:val="clear" w:color="auto" w:fill="FFFFFF"/>
        <w:spacing w:before="0" w:beforeAutospacing="0" w:after="0" w:afterAutospacing="0" w:line="596" w:lineRule="exact"/>
        <w:ind w:firstLine="602" w:firstLineChars="200"/>
        <w:rPr>
          <w:rStyle w:val="13"/>
          <w:rFonts w:hint="default" w:cs="黑体" w:asciiTheme="minorEastAsia" w:hAnsiTheme="minorEastAsia" w:eastAsiaTheme="minorEastAsia"/>
          <w:sz w:val="30"/>
          <w:szCs w:val="30"/>
          <w:shd w:val="clear" w:color="auto" w:fill="FFFFFF"/>
        </w:rPr>
      </w:pPr>
      <w:r>
        <w:rPr>
          <w:rStyle w:val="13"/>
          <w:rFonts w:cs="黑体" w:asciiTheme="minorEastAsia" w:hAnsiTheme="minorEastAsia" w:eastAsiaTheme="minorEastAsia"/>
          <w:sz w:val="30"/>
          <w:szCs w:val="30"/>
          <w:shd w:val="clear" w:color="auto" w:fill="FFFFFF"/>
        </w:rPr>
        <w:t>四、其他需要说明的事项</w:t>
      </w:r>
    </w:p>
    <w:p w14:paraId="7F71B6D1">
      <w:pPr>
        <w:pStyle w:val="9"/>
        <w:shd w:val="clear" w:color="auto" w:fill="FFFFFF"/>
        <w:spacing w:before="0" w:beforeAutospacing="0" w:after="0" w:afterAutospacing="0" w:line="596" w:lineRule="exact"/>
        <w:ind w:firstLine="602" w:firstLineChars="200"/>
        <w:jc w:val="both"/>
        <w:rPr>
          <w:rFonts w:hint="default" w:cs="楷体" w:asciiTheme="minorEastAsia" w:hAnsiTheme="minorEastAsia" w:eastAsiaTheme="minorEastAsia"/>
          <w:b/>
          <w:bCs/>
          <w:sz w:val="30"/>
          <w:szCs w:val="30"/>
          <w:shd w:val="clear" w:color="auto" w:fill="FFFFFF"/>
        </w:rPr>
      </w:pPr>
      <w:r>
        <w:rPr>
          <w:rFonts w:cs="楷体" w:asciiTheme="minorEastAsia" w:hAnsiTheme="minorEastAsia" w:eastAsiaTheme="minorEastAsia"/>
          <w:b/>
          <w:bCs/>
          <w:sz w:val="30"/>
          <w:szCs w:val="30"/>
          <w:shd w:val="clear" w:color="auto" w:fill="FFFFFF"/>
        </w:rPr>
        <w:t>（一）财政拨款会议费、培训费和差旅费情况说明</w:t>
      </w:r>
    </w:p>
    <w:p w14:paraId="2717B185">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color w:val="FF0000"/>
          <w:sz w:val="30"/>
          <w:szCs w:val="30"/>
        </w:rPr>
      </w:pPr>
      <w:r>
        <w:rPr>
          <w:rFonts w:cs="方正仿宋_GBK" w:asciiTheme="minorEastAsia" w:hAnsiTheme="minorEastAsia" w:eastAsiaTheme="minorEastAsia"/>
          <w:sz w:val="30"/>
          <w:szCs w:val="30"/>
          <w:shd w:val="clear" w:color="auto" w:fill="FFFFFF"/>
        </w:rPr>
        <w:t>本年度会议费支出</w:t>
      </w:r>
      <w:r>
        <w:rPr>
          <w:rFonts w:hint="default" w:asciiTheme="minorEastAsia" w:hAnsiTheme="minorEastAsia" w:eastAsiaTheme="minorEastAsia"/>
          <w:sz w:val="30"/>
          <w:szCs w:val="30"/>
          <w:shd w:val="clear" w:color="auto" w:fill="FFFFFF"/>
        </w:rPr>
        <w:t>0.02</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与2023年度相比，减少0.36万元，下降94.7%</w:t>
      </w:r>
      <w:r>
        <w:rPr>
          <w:rFonts w:cs="方正仿宋_GBK" w:asciiTheme="minorEastAsia" w:hAnsiTheme="minorEastAsia" w:eastAsiaTheme="minorEastAsia"/>
          <w:sz w:val="30"/>
          <w:szCs w:val="30"/>
          <w:shd w:val="clear" w:color="auto" w:fill="FFFFFF"/>
        </w:rPr>
        <w:t>，主要原因是减少了会议用茶开支。本年度培训费支出</w:t>
      </w:r>
      <w:r>
        <w:rPr>
          <w:rFonts w:hint="default" w:asciiTheme="minorEastAsia" w:hAnsiTheme="minorEastAsia" w:eastAsiaTheme="minorEastAsia"/>
          <w:sz w:val="30"/>
          <w:szCs w:val="30"/>
          <w:shd w:val="clear" w:color="auto" w:fill="FFFFFF"/>
        </w:rPr>
        <w:t>0.17</w:t>
      </w:r>
      <w:r>
        <w:rPr>
          <w:rFonts w:cs="方正仿宋_GBK" w:asciiTheme="minorEastAsia" w:hAnsiTheme="minorEastAsia" w:eastAsiaTheme="minorEastAsia"/>
          <w:sz w:val="30"/>
          <w:szCs w:val="30"/>
          <w:shd w:val="clear" w:color="auto" w:fill="FFFFFF"/>
        </w:rPr>
        <w:t>万元，</w:t>
      </w:r>
      <w:r>
        <w:rPr>
          <w:rFonts w:hint="default" w:asciiTheme="minorEastAsia" w:hAnsiTheme="minorEastAsia" w:eastAsiaTheme="minorEastAsia"/>
          <w:sz w:val="30"/>
          <w:szCs w:val="30"/>
          <w:shd w:val="clear" w:color="auto" w:fill="FFFFFF"/>
        </w:rPr>
        <w:t>与2023年度相比，增加0.10万元，增长142.9%</w:t>
      </w:r>
      <w:r>
        <w:rPr>
          <w:rFonts w:cs="方正仿宋_GBK" w:asciiTheme="minorEastAsia" w:hAnsiTheme="minorEastAsia" w:eastAsiaTheme="minorEastAsia"/>
          <w:sz w:val="30"/>
          <w:szCs w:val="30"/>
          <w:shd w:val="clear" w:color="auto" w:fill="FFFFFF"/>
        </w:rPr>
        <w:t>，主要原因是今年增加了专技人员继续教育专业科目培训。本年度差旅费支出</w:t>
      </w:r>
      <w:r>
        <w:rPr>
          <w:rFonts w:hint="default" w:asciiTheme="minorEastAsia" w:hAnsiTheme="minorEastAsia" w:eastAsiaTheme="minorEastAsia"/>
          <w:sz w:val="30"/>
          <w:szCs w:val="30"/>
          <w:shd w:val="clear" w:color="auto" w:fill="FFFFFF"/>
        </w:rPr>
        <w:t>17.56</w:t>
      </w:r>
      <w:r>
        <w:rPr>
          <w:rFonts w:cs="方正仿宋_GBK" w:asciiTheme="minorEastAsia" w:hAnsiTheme="minorEastAsia" w:eastAsiaTheme="minorEastAsia"/>
          <w:sz w:val="30"/>
          <w:szCs w:val="30"/>
        </w:rPr>
        <w:t>万元，</w:t>
      </w:r>
      <w:r>
        <w:rPr>
          <w:rFonts w:hint="default" w:asciiTheme="minorEastAsia" w:hAnsiTheme="minorEastAsia" w:eastAsiaTheme="minorEastAsia"/>
          <w:sz w:val="30"/>
          <w:szCs w:val="30"/>
          <w:shd w:val="clear" w:color="auto" w:fill="FFFFFF"/>
        </w:rPr>
        <w:t>与2023年度相比，增加12.87万元，增长274.4%</w:t>
      </w:r>
      <w:r>
        <w:rPr>
          <w:rFonts w:cs="方正仿宋_GBK" w:asciiTheme="minorEastAsia" w:hAnsiTheme="minorEastAsia" w:eastAsiaTheme="minorEastAsia"/>
          <w:sz w:val="30"/>
          <w:szCs w:val="30"/>
          <w:shd w:val="clear" w:color="auto" w:fill="FFFFFF"/>
        </w:rPr>
        <w:t>，主要原因是上年部分差旅费在今年报销。</w:t>
      </w:r>
    </w:p>
    <w:p w14:paraId="722D8572">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（二）机关运行经费情况说明</w:t>
      </w:r>
    </w:p>
    <w:p w14:paraId="1738E4B0">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highlight w:val="yellow"/>
        </w:rPr>
      </w:pPr>
      <w:r>
        <w:rPr>
          <w:rFonts w:asciiTheme="minorEastAsia" w:hAnsiTheme="minorEastAsia" w:eastAsiaTheme="minorEastAsia"/>
          <w:sz w:val="30"/>
          <w:szCs w:val="30"/>
          <w:shd w:val="clear" w:color="auto" w:fill="FFFFFF"/>
        </w:rPr>
        <w:t>按照部门决算列报口径，我单位不在机关运行经费统计范围之内。</w:t>
      </w:r>
    </w:p>
    <w:p w14:paraId="5C1A9F3E">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（三）国有资产占用情况说明</w:t>
      </w:r>
    </w:p>
    <w:p w14:paraId="0A93F9A1">
      <w:pPr>
        <w:pStyle w:val="9"/>
        <w:snapToGrid w:val="0"/>
        <w:spacing w:before="0" w:beforeAutospacing="0" w:after="0" w:afterAutospacing="0" w:line="596" w:lineRule="exact"/>
        <w:ind w:firstLine="600" w:firstLineChars="200"/>
        <w:jc w:val="both"/>
        <w:rPr>
          <w:rFonts w:hint="default" w:cs="方正仿宋_GBK" w:asciiTheme="minorEastAsia" w:hAnsiTheme="minorEastAsia" w:eastAsiaTheme="minorEastAsia"/>
          <w:sz w:val="30"/>
          <w:szCs w:val="30"/>
        </w:rPr>
      </w:pPr>
      <w:r>
        <w:rPr>
          <w:rFonts w:cs="方正仿宋_GBK" w:asciiTheme="minorEastAsia" w:hAnsiTheme="minorEastAsia" w:eastAsiaTheme="minorEastAsia"/>
          <w:sz w:val="30"/>
          <w:szCs w:val="30"/>
          <w:shd w:val="clear" w:color="auto" w:fill="FFFFFF"/>
        </w:rPr>
        <w:t>截至</w:t>
      </w: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w:t>
      </w:r>
      <w:r>
        <w:rPr>
          <w:rFonts w:hint="default" w:asciiTheme="minorEastAsia" w:hAnsiTheme="minorEastAsia" w:eastAsiaTheme="minorEastAsia"/>
          <w:sz w:val="30"/>
          <w:szCs w:val="30"/>
          <w:shd w:val="clear" w:color="auto" w:fill="FFFFFF"/>
        </w:rPr>
        <w:t>12</w:t>
      </w:r>
      <w:r>
        <w:rPr>
          <w:rFonts w:cs="方正仿宋_GBK" w:asciiTheme="minorEastAsia" w:hAnsiTheme="minorEastAsia" w:eastAsiaTheme="minorEastAsia"/>
          <w:sz w:val="30"/>
          <w:szCs w:val="30"/>
          <w:shd w:val="clear" w:color="auto" w:fill="FFFFFF"/>
        </w:rPr>
        <w:t>月</w:t>
      </w:r>
      <w:r>
        <w:rPr>
          <w:rFonts w:hint="default" w:asciiTheme="minorEastAsia" w:hAnsiTheme="minorEastAsia" w:eastAsiaTheme="minorEastAsia"/>
          <w:sz w:val="30"/>
          <w:szCs w:val="30"/>
          <w:shd w:val="clear" w:color="auto" w:fill="FFFFFF"/>
        </w:rPr>
        <w:t>31</w:t>
      </w:r>
      <w:r>
        <w:rPr>
          <w:rFonts w:cs="方正仿宋_GBK" w:asciiTheme="minorEastAsia" w:hAnsiTheme="minorEastAsia" w:eastAsiaTheme="minorEastAsia"/>
          <w:sz w:val="30"/>
          <w:szCs w:val="30"/>
          <w:shd w:val="clear" w:color="auto" w:fill="FFFFFF"/>
        </w:rPr>
        <w:t>日，本单位共有车辆</w:t>
      </w:r>
      <w:r>
        <w:rPr>
          <w:rFonts w:hint="default" w:asciiTheme="minorEastAsia" w:hAnsiTheme="minorEastAsia" w:eastAsiaTheme="minorEastAsia"/>
          <w:sz w:val="30"/>
          <w:szCs w:val="30"/>
          <w:shd w:val="clear" w:color="auto" w:fill="FFFFFF"/>
        </w:rPr>
        <w:t>1</w:t>
      </w:r>
      <w:r>
        <w:rPr>
          <w:rFonts w:cs="方正仿宋_GBK" w:asciiTheme="minorEastAsia" w:hAnsiTheme="minorEastAsia" w:eastAsiaTheme="minorEastAsia"/>
          <w:sz w:val="30"/>
          <w:szCs w:val="30"/>
          <w:shd w:val="clear" w:color="auto" w:fill="FFFFFF"/>
        </w:rPr>
        <w:t>辆，其中，副部（省）级及以上领导用车</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辆、主要领导干部用车</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辆、机要通信用车</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辆、应急保障用车</w:t>
      </w:r>
      <w:r>
        <w:rPr>
          <w:rFonts w:hint="default" w:asciiTheme="minorEastAsia" w:hAnsiTheme="minorEastAsia" w:eastAsiaTheme="minorEastAsia"/>
          <w:sz w:val="30"/>
          <w:szCs w:val="30"/>
          <w:shd w:val="clear" w:color="auto" w:fill="FFFFFF"/>
        </w:rPr>
        <w:t>1</w:t>
      </w:r>
      <w:r>
        <w:rPr>
          <w:rFonts w:cs="方正仿宋_GBK" w:asciiTheme="minorEastAsia" w:hAnsiTheme="minorEastAsia" w:eastAsiaTheme="minorEastAsia"/>
          <w:sz w:val="30"/>
          <w:szCs w:val="30"/>
          <w:shd w:val="clear" w:color="auto" w:fill="FFFFFF"/>
        </w:rPr>
        <w:t>辆、执法执勤用车</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辆，特种专业技术用车</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辆，离退休干部用车</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辆。单价</w:t>
      </w:r>
      <w:r>
        <w:rPr>
          <w:rFonts w:hint="default" w:asciiTheme="minorEastAsia" w:hAnsiTheme="minorEastAsia" w:eastAsiaTheme="minorEastAsia"/>
          <w:sz w:val="30"/>
          <w:szCs w:val="30"/>
          <w:shd w:val="clear" w:color="auto" w:fill="FFFFFF"/>
        </w:rPr>
        <w:t>100</w:t>
      </w:r>
      <w:r>
        <w:rPr>
          <w:rFonts w:cs="方正仿宋_GBK" w:asciiTheme="minorEastAsia" w:hAnsiTheme="minorEastAsia" w:eastAsiaTheme="minorEastAsia"/>
          <w:sz w:val="30"/>
          <w:szCs w:val="30"/>
          <w:shd w:val="clear" w:color="auto" w:fill="FFFFFF"/>
        </w:rPr>
        <w:t>万元（含）以上设备（不含车辆）</w:t>
      </w:r>
      <w:r>
        <w:rPr>
          <w:rFonts w:hint="default" w:asciiTheme="minorEastAsia" w:hAnsiTheme="minorEastAsia" w:eastAsiaTheme="minorEastAsia"/>
          <w:sz w:val="30"/>
          <w:szCs w:val="30"/>
          <w:shd w:val="clear" w:color="auto" w:fill="FFFFFF"/>
        </w:rPr>
        <w:t>0</w:t>
      </w:r>
      <w:r>
        <w:rPr>
          <w:rFonts w:cs="方正仿宋_GBK" w:asciiTheme="minorEastAsia" w:hAnsiTheme="minorEastAsia" w:eastAsiaTheme="minorEastAsia"/>
          <w:sz w:val="30"/>
          <w:szCs w:val="30"/>
          <w:shd w:val="clear" w:color="auto" w:fill="FFFFFF"/>
        </w:rPr>
        <w:t>台（套）。</w:t>
      </w:r>
    </w:p>
    <w:p w14:paraId="3ECE6DB9">
      <w:pPr>
        <w:pStyle w:val="14"/>
        <w:autoSpaceDE w:val="0"/>
        <w:spacing w:line="596" w:lineRule="exact"/>
        <w:ind w:firstLine="602"/>
        <w:rPr>
          <w:rFonts w:cs="楷体" w:asciiTheme="minorEastAsia" w:hAnsiTheme="minorEastAsia" w:eastAsiaTheme="minorEastAsia"/>
          <w:b/>
          <w:bCs/>
          <w:sz w:val="30"/>
          <w:szCs w:val="30"/>
          <w:shd w:val="clear" w:color="auto" w:fill="FFFFFF"/>
        </w:rPr>
      </w:pPr>
      <w:r>
        <w:rPr>
          <w:rFonts w:hint="eastAsia" w:cs="楷体" w:asciiTheme="minorEastAsia" w:hAnsiTheme="minorEastAsia" w:eastAsiaTheme="minorEastAsia"/>
          <w:b/>
          <w:bCs/>
          <w:sz w:val="30"/>
          <w:szCs w:val="30"/>
          <w:shd w:val="clear" w:color="auto" w:fill="FFFFFF"/>
        </w:rPr>
        <w:t>（四）政府采购支出情况说明</w:t>
      </w:r>
    </w:p>
    <w:p w14:paraId="2FD7FE6E">
      <w:pPr>
        <w:pStyle w:val="9"/>
        <w:snapToGrid w:val="0"/>
        <w:spacing w:before="0" w:beforeAutospacing="0" w:after="0" w:afterAutospacing="0" w:line="596" w:lineRule="exact"/>
        <w:ind w:firstLine="750" w:firstLineChars="250"/>
        <w:jc w:val="both"/>
        <w:rPr>
          <w:rFonts w:hint="default" w:cs="方正仿宋_GBK" w:asciiTheme="minorEastAsia" w:hAnsiTheme="minorEastAsia" w:eastAsiaTheme="minorEastAsia"/>
          <w:sz w:val="30"/>
          <w:szCs w:val="30"/>
          <w:shd w:val="clear" w:color="auto" w:fill="FFFFFF"/>
        </w:rPr>
      </w:pPr>
      <w:r>
        <w:rPr>
          <w:rFonts w:hint="default" w:asciiTheme="minorEastAsia" w:hAnsiTheme="minorEastAsia" w:eastAsiaTheme="minorEastAsia"/>
          <w:sz w:val="30"/>
          <w:szCs w:val="30"/>
          <w:shd w:val="clear" w:color="auto" w:fill="FFFFFF"/>
        </w:rPr>
        <w:t>2024</w:t>
      </w:r>
      <w:r>
        <w:rPr>
          <w:rFonts w:cs="方正仿宋_GBK" w:asciiTheme="minorEastAsia" w:hAnsiTheme="minorEastAsia" w:eastAsiaTheme="minorEastAsia"/>
          <w:sz w:val="30"/>
          <w:szCs w:val="30"/>
          <w:shd w:val="clear" w:color="auto" w:fill="FFFFFF"/>
        </w:rPr>
        <w:t>年度我单位未发生政府采购事项，无相关经费支出。</w:t>
      </w:r>
    </w:p>
    <w:p w14:paraId="32A6479C">
      <w:pPr>
        <w:pStyle w:val="15"/>
        <w:spacing w:before="0" w:beforeAutospacing="0" w:after="0" w:afterAutospacing="0" w:line="596" w:lineRule="exact"/>
        <w:rPr>
          <w:rStyle w:val="13"/>
          <w:rFonts w:cs="黑体" w:asciiTheme="minorEastAsia" w:hAnsiTheme="minorEastAsia" w:eastAsiaTheme="minorEastAsia"/>
          <w:sz w:val="30"/>
          <w:szCs w:val="30"/>
          <w:shd w:val="clear" w:color="auto" w:fill="FFFFFF"/>
        </w:rPr>
      </w:pPr>
      <w:r>
        <w:rPr>
          <w:rStyle w:val="13"/>
          <w:rFonts w:hint="eastAsia" w:cs="黑体" w:asciiTheme="minorEastAsia" w:hAnsiTheme="minorEastAsia" w:eastAsiaTheme="minorEastAsia"/>
          <w:sz w:val="30"/>
          <w:szCs w:val="30"/>
          <w:shd w:val="clear" w:color="auto" w:fill="FFFFFF"/>
        </w:rPr>
        <w:t>五、2024年度预算绩效管理情况说明</w:t>
      </w:r>
    </w:p>
    <w:p w14:paraId="7C5FED47">
      <w:pPr>
        <w:pStyle w:val="15"/>
        <w:spacing w:before="0" w:beforeAutospacing="0"/>
        <w:ind w:firstLine="602" w:firstLineChars="200"/>
        <w:rPr>
          <w:rFonts w:cs="宋体" w:asciiTheme="minorEastAsia" w:hAnsiTheme="minorEastAsia" w:eastAsiaTheme="minorEastAsia"/>
          <w:sz w:val="30"/>
          <w:szCs w:val="30"/>
        </w:rPr>
      </w:pPr>
      <w:r>
        <w:rPr>
          <w:rFonts w:hint="eastAsia" w:cs="宋体" w:asciiTheme="minorEastAsia" w:hAnsiTheme="minorEastAsia" w:eastAsiaTheme="minorEastAsia"/>
          <w:b/>
          <w:bCs/>
          <w:sz w:val="30"/>
          <w:szCs w:val="30"/>
          <w:shd w:val="clear" w:color="auto" w:fill="FFFFFF"/>
        </w:rPr>
        <w:t>（一）单位自评情况</w:t>
      </w:r>
      <w:r>
        <w:rPr>
          <w:rStyle w:val="22"/>
          <w:rFonts w:hint="eastAsia" w:cs="宋体" w:asciiTheme="minorEastAsia" w:hAnsiTheme="minorEastAsia" w:eastAsiaTheme="minorEastAsia"/>
          <w:b w:val="0"/>
          <w:bCs w:val="0"/>
          <w:sz w:val="30"/>
          <w:szCs w:val="30"/>
          <w:shd w:val="clear" w:color="auto" w:fill="FFFFFF"/>
        </w:rPr>
        <w:t>。</w:t>
      </w:r>
    </w:p>
    <w:p w14:paraId="0EB8B401">
      <w:pPr>
        <w:pStyle w:val="15"/>
        <w:spacing w:before="0" w:beforeAutospacing="0"/>
        <w:ind w:firstLine="600" w:firstLineChars="200"/>
        <w:rPr>
          <w:rFonts w:cs="宋体" w:asciiTheme="minorEastAsia" w:hAnsiTheme="minorEastAsia" w:eastAsiaTheme="minorEastAsia"/>
          <w:sz w:val="30"/>
          <w:szCs w:val="30"/>
        </w:rPr>
      </w:pPr>
      <w:r>
        <w:rPr>
          <w:rFonts w:hint="eastAsia" w:cs="宋体" w:asciiTheme="minorEastAsia" w:hAnsiTheme="minorEastAsia" w:eastAsiaTheme="minorEastAsia"/>
          <w:sz w:val="30"/>
          <w:szCs w:val="30"/>
          <w:shd w:val="clear" w:color="auto" w:fill="FFFFFF"/>
        </w:rPr>
        <w:t>根据预算绩效管理要求，我单位对13个项目开展了绩效自评，其中，以填报自评表形式开展自评13项，涉及资金3,394.51万元。</w:t>
      </w:r>
      <w:r>
        <w:rPr>
          <w:rFonts w:hint="eastAsia" w:cs="宋体" w:asciiTheme="minorEastAsia" w:hAnsiTheme="minorEastAsia" w:eastAsiaTheme="minorEastAsia"/>
          <w:kern w:val="2"/>
          <w:sz w:val="30"/>
          <w:szCs w:val="30"/>
        </w:rPr>
        <w:t>从评价情况来看，主要是对运输企业进行政策性经营补贴（农客燃油补贴、农客运营补贴、农客车辆保险补贴、公交运行补贴）及市级运政管理经费。</w:t>
      </w:r>
    </w:p>
    <w:p w14:paraId="71BF7E6B">
      <w:pPr>
        <w:pStyle w:val="15"/>
        <w:spacing w:before="0" w:beforeAutospacing="0"/>
        <w:ind w:firstLine="600" w:firstLineChars="200"/>
        <w:rPr>
          <w:rFonts w:cs="宋体" w:asciiTheme="minorEastAsia" w:hAnsiTheme="minorEastAsia" w:eastAsiaTheme="minorEastAsia"/>
          <w:kern w:val="2"/>
          <w:sz w:val="30"/>
          <w:szCs w:val="30"/>
        </w:rPr>
      </w:pPr>
      <w:r>
        <w:rPr>
          <w:rFonts w:hint="eastAsia" w:cs="宋体" w:asciiTheme="minorEastAsia" w:hAnsiTheme="minorEastAsia" w:eastAsiaTheme="minorEastAsia"/>
          <w:kern w:val="2"/>
          <w:sz w:val="30"/>
          <w:szCs w:val="30"/>
        </w:rPr>
        <w:t>丰都县道路运输事务中心2024年度项目支出绩效自评情况表</w:t>
      </w:r>
    </w:p>
    <w:p w14:paraId="5BAD2831">
      <w:pPr>
        <w:pStyle w:val="15"/>
        <w:shd w:val="clear" w:color="auto" w:fill="FFFFFF"/>
        <w:ind w:firstLine="600" w:firstLineChars="200"/>
        <w:rPr>
          <w:rFonts w:cs="宋体" w:asciiTheme="minorEastAsia" w:hAnsiTheme="minorEastAsia" w:eastAsiaTheme="minorEastAsia"/>
          <w:kern w:val="2"/>
          <w:sz w:val="30"/>
          <w:szCs w:val="30"/>
          <w:shd w:val="clear" w:color="auto" w:fill="FFFFFF"/>
        </w:rPr>
      </w:pPr>
      <w:r>
        <w:rPr>
          <w:rFonts w:hint="eastAsia" w:cs="宋体" w:asciiTheme="minorEastAsia" w:hAnsiTheme="minorEastAsia" w:eastAsiaTheme="minorEastAsia"/>
          <w:kern w:val="2"/>
          <w:sz w:val="30"/>
          <w:szCs w:val="30"/>
          <w:shd w:val="clear" w:color="auto" w:fill="FFFFFF"/>
        </w:rPr>
        <w:t>详情见附件</w:t>
      </w:r>
    </w:p>
    <w:p w14:paraId="7E1155A1">
      <w:pPr>
        <w:pStyle w:val="14"/>
        <w:autoSpaceDE w:val="0"/>
        <w:ind w:firstLine="602"/>
        <w:rPr>
          <w:rFonts w:cs="宋体" w:asciiTheme="minorEastAsia" w:hAnsiTheme="minorEastAsia" w:eastAsiaTheme="minorEastAsia"/>
          <w:b/>
          <w:bCs/>
          <w:sz w:val="30"/>
          <w:szCs w:val="30"/>
          <w:shd w:val="clear" w:color="auto" w:fill="FFFFFF"/>
        </w:rPr>
      </w:pPr>
      <w:r>
        <w:rPr>
          <w:rFonts w:hint="eastAsia" w:cs="宋体" w:asciiTheme="minorEastAsia" w:hAnsiTheme="minorEastAsia" w:eastAsiaTheme="minorEastAsia"/>
          <w:b/>
          <w:bCs/>
          <w:sz w:val="30"/>
          <w:szCs w:val="30"/>
          <w:shd w:val="clear" w:color="auto" w:fill="FFFFFF"/>
        </w:rPr>
        <w:t>（二）单位绩效评价情况</w:t>
      </w:r>
    </w:p>
    <w:p w14:paraId="3E8714E6">
      <w:pPr>
        <w:pStyle w:val="17"/>
        <w:autoSpaceDE w:val="0"/>
        <w:ind w:firstLine="900" w:firstLineChars="300"/>
        <w:rPr>
          <w:rFonts w:cs="宋体" w:asciiTheme="minorEastAsia" w:hAnsiTheme="minorEastAsia" w:eastAsiaTheme="minorEastAsia"/>
          <w:color w:val="000000" w:themeColor="text1"/>
          <w:sz w:val="30"/>
          <w:szCs w:val="30"/>
          <w:highlight w:val="yellow"/>
          <w:shd w:val="clear" w:color="FFFFFF" w:fill="D9D9D9"/>
        </w:rPr>
      </w:pPr>
      <w:r>
        <w:rPr>
          <w:rFonts w:hint="eastAsia" w:cs="宋体" w:asciiTheme="minorEastAsia" w:hAnsiTheme="minorEastAsia" w:eastAsiaTheme="minorEastAsia"/>
          <w:color w:val="000000" w:themeColor="text1"/>
          <w:sz w:val="30"/>
          <w:szCs w:val="30"/>
        </w:rPr>
        <w:t>我单位未组织开展绩效评价。</w:t>
      </w:r>
    </w:p>
    <w:p w14:paraId="4612127F">
      <w:pPr>
        <w:pStyle w:val="14"/>
        <w:autoSpaceDE w:val="0"/>
        <w:ind w:firstLine="602"/>
        <w:rPr>
          <w:rFonts w:cs="宋体" w:asciiTheme="minorEastAsia" w:hAnsiTheme="minorEastAsia" w:eastAsiaTheme="minorEastAsia"/>
          <w:b/>
          <w:bCs/>
          <w:sz w:val="30"/>
          <w:szCs w:val="30"/>
          <w:shd w:val="clear" w:color="auto" w:fill="FFFFFF"/>
        </w:rPr>
      </w:pPr>
      <w:r>
        <w:rPr>
          <w:rFonts w:hint="eastAsia" w:cs="宋体" w:asciiTheme="minorEastAsia" w:hAnsiTheme="minorEastAsia" w:eastAsiaTheme="minorEastAsia"/>
          <w:b/>
          <w:bCs/>
          <w:sz w:val="30"/>
          <w:szCs w:val="30"/>
          <w:shd w:val="clear" w:color="auto" w:fill="FFFFFF"/>
        </w:rPr>
        <w:t>（三）财政绩效评价情况</w:t>
      </w:r>
    </w:p>
    <w:p w14:paraId="775E6F73">
      <w:pPr>
        <w:pStyle w:val="17"/>
        <w:autoSpaceDE w:val="0"/>
        <w:ind w:firstLine="900" w:firstLineChars="300"/>
        <w:rPr>
          <w:rFonts w:cs="宋体" w:asciiTheme="minorEastAsia" w:hAnsiTheme="minorEastAsia" w:eastAsiaTheme="minorEastAsia"/>
          <w:sz w:val="30"/>
          <w:szCs w:val="30"/>
          <w:highlight w:val="yellow"/>
          <w:shd w:val="clear" w:color="auto" w:fill="FFFFFF"/>
        </w:rPr>
      </w:pPr>
      <w:r>
        <w:rPr>
          <w:rFonts w:hint="eastAsia" w:cs="宋体" w:asciiTheme="minorEastAsia" w:hAnsiTheme="minorEastAsia" w:eastAsiaTheme="minorEastAsia"/>
          <w:sz w:val="30"/>
          <w:szCs w:val="30"/>
          <w:shd w:val="clear" w:color="auto" w:fill="FFFFFF"/>
        </w:rPr>
        <w:t>县财政局未委托第三方对我单位开展绩效评价。</w:t>
      </w:r>
    </w:p>
    <w:p w14:paraId="004D2EE5">
      <w:pPr>
        <w:pStyle w:val="9"/>
        <w:shd w:val="clear" w:color="auto" w:fill="FFFFFF"/>
        <w:rPr>
          <w:rFonts w:hint="default" w:asciiTheme="minorEastAsia" w:hAnsiTheme="minorEastAsia" w:eastAsiaTheme="minorEastAsia"/>
          <w:sz w:val="30"/>
          <w:szCs w:val="30"/>
        </w:rPr>
      </w:pPr>
      <w:r>
        <w:rPr>
          <w:rStyle w:val="13"/>
          <w:rFonts w:cs="宋体" w:asciiTheme="minorEastAsia" w:hAnsiTheme="minorEastAsia" w:eastAsiaTheme="minorEastAsia"/>
          <w:sz w:val="30"/>
          <w:szCs w:val="30"/>
          <w:shd w:val="clear" w:color="auto" w:fill="FFFFFF"/>
        </w:rPr>
        <w:t>六、专业名词解释</w:t>
      </w:r>
    </w:p>
    <w:p w14:paraId="238DC579">
      <w:pPr>
        <w:pStyle w:val="15"/>
        <w:spacing w:before="0" w:beforeAutospacing="0"/>
        <w:rPr>
          <w:rFonts w:cs="宋体" w:asciiTheme="minorEastAsia" w:hAnsiTheme="minorEastAsia" w:eastAsiaTheme="minorEastAsia"/>
          <w:sz w:val="30"/>
          <w:szCs w:val="30"/>
        </w:rPr>
      </w:pPr>
      <w:r>
        <w:rPr>
          <w:rFonts w:hint="eastAsia" w:cs="宋体" w:asciiTheme="minorEastAsia" w:hAnsiTheme="minorEastAsia" w:eastAsiaTheme="minorEastAsia"/>
          <w:b/>
          <w:bCs/>
          <w:sz w:val="30"/>
          <w:szCs w:val="30"/>
          <w:shd w:val="clear" w:color="auto" w:fill="FFFFFF"/>
        </w:rPr>
        <w:t> </w:t>
      </w:r>
      <w:r>
        <w:rPr>
          <w:rStyle w:val="22"/>
          <w:rFonts w:hint="eastAsia" w:cs="宋体" w:asciiTheme="minorEastAsia" w:hAnsiTheme="minorEastAsia" w:eastAsiaTheme="minorEastAsia"/>
          <w:b w:val="0"/>
          <w:bCs w:val="0"/>
          <w:sz w:val="30"/>
          <w:szCs w:val="30"/>
          <w:shd w:val="clear" w:color="auto" w:fill="FFFFFF"/>
        </w:rPr>
        <w:t>（一）财政拨款收入</w:t>
      </w:r>
      <w:r>
        <w:rPr>
          <w:rFonts w:hint="eastAsia" w:cs="宋体" w:asciiTheme="minorEastAsia" w:hAnsiTheme="minorEastAsia" w:eastAsiaTheme="minorEastAsia"/>
          <w:sz w:val="30"/>
          <w:szCs w:val="30"/>
          <w:shd w:val="clear" w:color="auto" w:fill="FFFFFF"/>
        </w:rPr>
        <w:t>：指本年度从本级财政部门取得的财政拨款，包括一般公共预算财政拨款和政府性基金预算财政拨款。</w:t>
      </w:r>
    </w:p>
    <w:p w14:paraId="6988BB8B">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（二）年初结转和结余</w:t>
      </w:r>
      <w:r>
        <w:rPr>
          <w:rFonts w:hint="eastAsia" w:cs="宋体" w:asciiTheme="minorEastAsia" w:hAnsiTheme="minorEastAsia" w:eastAsiaTheme="minorEastAsia"/>
          <w:sz w:val="30"/>
          <w:szCs w:val="30"/>
          <w:shd w:val="clear" w:color="auto" w:fill="FFFFFF"/>
        </w:rPr>
        <w:t>：指单位上年结转本年使用的基本支出结转、项目支出结转和结余、经营结余。</w:t>
      </w:r>
    </w:p>
    <w:p w14:paraId="0782D188">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（三）年末结转和结余</w:t>
      </w:r>
      <w:r>
        <w:rPr>
          <w:rFonts w:hint="eastAsia" w:cs="宋体" w:asciiTheme="minorEastAsia" w:hAnsiTheme="minorEastAsia" w:eastAsiaTheme="minorEastAsia"/>
          <w:sz w:val="30"/>
          <w:szCs w:val="30"/>
          <w:shd w:val="clear" w:color="auto" w:fill="FFFFFF"/>
        </w:rPr>
        <w:t>：指单位结转下年的基本支出结转、项目支出结转和结余、经营结余。</w:t>
      </w:r>
    </w:p>
    <w:p w14:paraId="74EA7BAD">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（四）基本支出</w:t>
      </w:r>
      <w:r>
        <w:rPr>
          <w:rFonts w:hint="eastAsia" w:cs="宋体" w:asciiTheme="minorEastAsia" w:hAnsiTheme="minorEastAsia" w:eastAsiaTheme="minorEastAsia"/>
          <w:sz w:val="30"/>
          <w:szCs w:val="30"/>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6EF03C">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（五）项目支出</w:t>
      </w:r>
      <w:r>
        <w:rPr>
          <w:rFonts w:hint="eastAsia" w:cs="宋体" w:asciiTheme="minorEastAsia" w:hAnsiTheme="minorEastAsia" w:eastAsiaTheme="minorEastAsia"/>
          <w:sz w:val="30"/>
          <w:szCs w:val="30"/>
          <w:shd w:val="clear" w:color="auto" w:fill="FFFFFF"/>
        </w:rPr>
        <w:t>：指在基本支出之外为完成特定行政任务和事业发展目标所发生的支出。</w:t>
      </w:r>
    </w:p>
    <w:p w14:paraId="589AB62D">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（六）“三公”经费</w:t>
      </w:r>
      <w:r>
        <w:rPr>
          <w:rFonts w:hint="eastAsia" w:cs="宋体" w:asciiTheme="minorEastAsia" w:hAnsiTheme="minorEastAsia" w:eastAsiaTheme="minorEastAsia"/>
          <w:sz w:val="30"/>
          <w:szCs w:val="30"/>
          <w:shd w:val="clear" w:color="auto" w:fill="FFFFFF"/>
        </w:rPr>
        <w:t>：</w:t>
      </w:r>
      <w:r>
        <w:rPr>
          <w:rFonts w:hint="eastAsia" w:cs="宋体" w:asciiTheme="minorEastAsia" w:hAnsiTheme="minorEastAsia" w:eastAsiaTheme="minorEastAsia"/>
          <w:sz w:val="30"/>
          <w:szCs w:val="30"/>
          <w:shd w:val="clear" w:color="auto" w:fill="FFFFFF"/>
          <w:lang w:eastAsia="zh-CN"/>
        </w:rPr>
        <w:t>指</w:t>
      </w:r>
      <w:r>
        <w:rPr>
          <w:rFonts w:hint="eastAsia" w:cs="宋体" w:asciiTheme="minorEastAsia" w:hAnsiTheme="minorEastAsia" w:eastAsiaTheme="minorEastAsia"/>
          <w:sz w:val="30"/>
          <w:szCs w:val="30"/>
          <w:shd w:val="clear" w:color="auto" w:fill="FFFFFF"/>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AE5D20">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（七）工资福利支出（支出经济分类科目类级）</w:t>
      </w:r>
      <w:r>
        <w:rPr>
          <w:rFonts w:hint="eastAsia" w:cs="宋体" w:asciiTheme="minorEastAsia" w:hAnsiTheme="minorEastAsia" w:eastAsiaTheme="minorEastAsia"/>
          <w:sz w:val="30"/>
          <w:szCs w:val="30"/>
          <w:shd w:val="clear" w:color="auto" w:fill="FFFFFF"/>
        </w:rPr>
        <w:t>：反映单位开支的在职职工和编制外长期聘用人员的各类劳动报酬，以及为上述人员缴纳的各项社会保险费等。</w:t>
      </w:r>
    </w:p>
    <w:p w14:paraId="48393DED">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（八）商品和服务支出（支出经济分类科目类级）</w:t>
      </w:r>
      <w:r>
        <w:rPr>
          <w:rFonts w:hint="eastAsia" w:cs="宋体" w:asciiTheme="minorEastAsia" w:hAnsiTheme="minorEastAsia" w:eastAsiaTheme="minorEastAsia"/>
          <w:sz w:val="30"/>
          <w:szCs w:val="30"/>
          <w:shd w:val="clear" w:color="auto" w:fill="FFFFFF"/>
        </w:rPr>
        <w:t>：反映单位购买商品和服务的支出（不包括用于购置固定资产的支出、战略性和应急储备支出）。</w:t>
      </w:r>
    </w:p>
    <w:p w14:paraId="5585BB0A">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（九）对个人和家庭的补助（支出经济分类科目类级）</w:t>
      </w:r>
      <w:r>
        <w:rPr>
          <w:rFonts w:hint="eastAsia" w:cs="宋体" w:asciiTheme="minorEastAsia" w:hAnsiTheme="minorEastAsia" w:eastAsiaTheme="minorEastAsia"/>
          <w:sz w:val="30"/>
          <w:szCs w:val="30"/>
          <w:shd w:val="clear" w:color="auto" w:fill="FFFFFF"/>
        </w:rPr>
        <w:t>：反映用于对个人和家庭的补助支出。</w:t>
      </w:r>
    </w:p>
    <w:p w14:paraId="78E06165">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（十）其他资本性支出（支出经济分类科目类级）</w:t>
      </w:r>
      <w:r>
        <w:rPr>
          <w:rFonts w:hint="eastAsia" w:cs="宋体" w:asciiTheme="minorEastAsia" w:hAnsiTheme="minorEastAsia" w:eastAsiaTheme="minorEastAsia"/>
          <w:sz w:val="30"/>
          <w:szCs w:val="30"/>
          <w:shd w:val="clear" w:color="auto" w:fill="FFFFFF"/>
        </w:rPr>
        <w:t>：反映非各级发展</w:t>
      </w:r>
      <w:r>
        <w:rPr>
          <w:rFonts w:hint="eastAsia" w:cs="宋体" w:asciiTheme="minorEastAsia" w:hAnsiTheme="minorEastAsia" w:eastAsiaTheme="minorEastAsia"/>
          <w:sz w:val="30"/>
          <w:szCs w:val="30"/>
          <w:shd w:val="clear" w:color="auto" w:fill="FFFFFF"/>
          <w:lang w:eastAsia="zh-CN"/>
        </w:rPr>
        <w:t>和</w:t>
      </w:r>
      <w:r>
        <w:rPr>
          <w:rFonts w:hint="eastAsia" w:cs="宋体" w:asciiTheme="minorEastAsia" w:hAnsiTheme="minorEastAsia" w:eastAsiaTheme="minorEastAsia"/>
          <w:sz w:val="30"/>
          <w:szCs w:val="30"/>
          <w:shd w:val="clear" w:color="auto" w:fill="FFFFFF"/>
        </w:rPr>
        <w:t>改革部门集中安排的用于购置固定资产、战略性和应急性储备、土地和无形资产，以及构建基础设施、大型修缮和财政支持企业更新改造所发生的支出。</w:t>
      </w:r>
    </w:p>
    <w:p w14:paraId="3B2243F0">
      <w:pPr>
        <w:pStyle w:val="15"/>
        <w:spacing w:before="0" w:beforeAutospacing="0"/>
        <w:rPr>
          <w:rFonts w:cs="宋体" w:asciiTheme="minorEastAsia" w:hAnsiTheme="minorEastAsia" w:eastAsiaTheme="minorEastAsia"/>
          <w:sz w:val="30"/>
          <w:szCs w:val="30"/>
        </w:rPr>
      </w:pPr>
      <w:r>
        <w:rPr>
          <w:rStyle w:val="22"/>
          <w:rFonts w:hint="eastAsia" w:cs="宋体" w:asciiTheme="minorEastAsia" w:hAnsiTheme="minorEastAsia" w:eastAsiaTheme="minorEastAsia"/>
          <w:b w:val="0"/>
          <w:bCs w:val="0"/>
          <w:sz w:val="30"/>
          <w:szCs w:val="30"/>
          <w:shd w:val="clear" w:color="auto" w:fill="FFFFFF"/>
        </w:rPr>
        <w:t xml:space="preserve">  七、决算公开联系方式及信息反馈渠道</w:t>
      </w:r>
    </w:p>
    <w:p w14:paraId="5B13C688">
      <w:pPr>
        <w:pStyle w:val="9"/>
        <w:snapToGrid w:val="0"/>
        <w:spacing w:before="0" w:beforeAutospacing="0" w:after="0" w:afterAutospacing="0" w:line="596" w:lineRule="exact"/>
        <w:ind w:firstLine="1200" w:firstLineChars="400"/>
        <w:jc w:val="both"/>
        <w:rPr>
          <w:rFonts w:hint="default" w:cs="方正仿宋_GBK" w:asciiTheme="minorEastAsia" w:hAnsiTheme="minorEastAsia" w:eastAsiaTheme="minorEastAsia"/>
          <w:sz w:val="30"/>
          <w:szCs w:val="30"/>
          <w:shd w:val="clear" w:color="auto" w:fill="FFFFFF"/>
        </w:rPr>
      </w:pPr>
      <w:r>
        <w:rPr>
          <w:rFonts w:cs="宋体" w:asciiTheme="minorEastAsia" w:hAnsiTheme="minorEastAsia" w:eastAsiaTheme="minorEastAsia"/>
          <w:sz w:val="30"/>
          <w:szCs w:val="30"/>
          <w:shd w:val="clear" w:color="auto" w:fill="FFFFFF"/>
        </w:rPr>
        <w:t xml:space="preserve">本单位决算公开信息反馈和联系方式：    陈蓉          </w:t>
      </w:r>
      <w:r>
        <w:rPr>
          <w:rFonts w:cs="宋体" w:asciiTheme="minorEastAsia" w:hAnsiTheme="minorEastAsia" w:eastAsiaTheme="minorEastAsia"/>
          <w:sz w:val="30"/>
          <w:szCs w:val="30"/>
        </w:rPr>
        <w:t>023-70609192</w:t>
      </w:r>
    </w:p>
    <w:p w14:paraId="6B0D2651">
      <w:pPr>
        <w:pStyle w:val="9"/>
        <w:snapToGrid w:val="0"/>
        <w:spacing w:before="0" w:beforeAutospacing="0" w:after="0" w:afterAutospacing="0" w:line="596" w:lineRule="exact"/>
        <w:ind w:firstLine="1200" w:firstLineChars="400"/>
        <w:jc w:val="both"/>
        <w:rPr>
          <w:rFonts w:hint="default" w:cs="方正仿宋_GBK" w:asciiTheme="minorEastAsia" w:hAnsiTheme="minorEastAsia" w:eastAsiaTheme="minorEastAsia"/>
          <w:color w:val="FF0000"/>
          <w:sz w:val="30"/>
          <w:szCs w:val="30"/>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4D50E784">
      <w:pPr>
        <w:spacing w:line="594" w:lineRule="exact"/>
        <w:ind w:firstLine="753" w:firstLineChars="250"/>
        <w:rPr>
          <w:rFonts w:hint="default" w:cs="宋体" w:asciiTheme="minorEastAsia" w:hAnsiTheme="minorEastAsia" w:eastAsiaTheme="minorEastAsia"/>
          <w:sz w:val="30"/>
          <w:szCs w:val="30"/>
        </w:rPr>
      </w:pPr>
      <w:r>
        <w:rPr>
          <w:rStyle w:val="16"/>
          <w:rFonts w:hint="eastAsia" w:cs="方正仿宋_GBK" w:asciiTheme="minorEastAsia" w:hAnsiTheme="minorEastAsia" w:eastAsiaTheme="minorEastAsia"/>
          <w:sz w:val="30"/>
          <w:szCs w:val="30"/>
          <w:shd w:val="clear" w:color="auto" w:fill="FFFFFF"/>
        </w:rPr>
        <w:t xml:space="preserve">  </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243"/>
        <w:gridCol w:w="2276"/>
        <w:gridCol w:w="3042"/>
        <w:gridCol w:w="1775"/>
      </w:tblGrid>
      <w:tr w14:paraId="2DB051C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045506A">
            <w:pPr>
              <w:spacing w:line="400" w:lineRule="exact"/>
              <w:ind w:firstLine="3694" w:firstLineChars="1150"/>
              <w:textAlignment w:val="bottom"/>
              <w:rPr>
                <w:rFonts w:hint="default" w:cs="宋体"/>
                <w:b/>
                <w:color w:val="000000"/>
                <w:sz w:val="32"/>
                <w:szCs w:val="32"/>
              </w:rPr>
            </w:pPr>
            <w:r>
              <w:rPr>
                <w:rFonts w:cs="宋体"/>
                <w:b/>
                <w:color w:val="000000"/>
                <w:sz w:val="32"/>
                <w:szCs w:val="32"/>
              </w:rPr>
              <w:t>收入支出决算总表</w:t>
            </w:r>
          </w:p>
        </w:tc>
      </w:tr>
      <w:tr w14:paraId="36FCB01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894772B">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5C6E11B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E9C9881">
            <w:pPr>
              <w:spacing w:line="200" w:lineRule="exact"/>
              <w:rPr>
                <w:rFonts w:hint="default" w:ascii="Arial" w:hAnsi="Arial" w:cs="Arial"/>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4846332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39D96C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CA5F118">
            <w:pPr>
              <w:spacing w:line="280" w:lineRule="exact"/>
              <w:rPr>
                <w:rFonts w:hint="default" w:ascii="Arial" w:hAnsi="Arial" w:cs="Arial"/>
                <w:color w:val="000000"/>
                <w:sz w:val="22"/>
                <w:szCs w:val="22"/>
              </w:rPr>
            </w:pPr>
            <w:r>
              <w:rPr>
                <w:rFonts w:cs="宋体"/>
                <w:sz w:val="20"/>
                <w:szCs w:val="20"/>
              </w:rPr>
              <w:t>单位：</w:t>
            </w:r>
            <w:r>
              <w:rPr>
                <w:sz w:val="20"/>
              </w:rPr>
              <w:t>丰都县道路运输事务中心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8559FFB">
            <w:pPr>
              <w:spacing w:line="200" w:lineRule="exact"/>
              <w:rPr>
                <w:rFonts w:hint="default" w:ascii="Arial" w:hAnsi="Arial" w:cs="Arial"/>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14:paraId="413B13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2AC13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CD4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F53FB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EA9ED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D50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598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6D2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CA35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E880E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25B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63B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3,777.50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E42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82B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285F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69F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9A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FDBB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29F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4961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91C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9DA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A0A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7B8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B86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C42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C2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20A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4C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162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FFE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18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793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74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9A52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5B7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73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2987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21D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CA9F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63F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8CD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C79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C97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8DA6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C14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3C5A32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A6A2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F1E8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70.89</w:t>
            </w:r>
            <w:r>
              <w:rPr>
                <w:rFonts w:ascii="Times New Roman" w:hAnsi="Times New Roman"/>
                <w:color w:val="000000"/>
                <w:sz w:val="20"/>
              </w:rPr>
              <w:t xml:space="preserve"> </w:t>
            </w:r>
          </w:p>
        </w:tc>
      </w:tr>
      <w:tr w14:paraId="540D40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D613">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AE6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492E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59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w:t>
            </w:r>
            <w:r>
              <w:rPr>
                <w:rFonts w:ascii="Times New Roman" w:hAnsi="Times New Roman"/>
                <w:color w:val="000000"/>
                <w:sz w:val="20"/>
              </w:rPr>
              <w:t xml:space="preserve"> </w:t>
            </w:r>
          </w:p>
        </w:tc>
      </w:tr>
      <w:tr w14:paraId="209EEF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853E">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56F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D490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0D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72A2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582C">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F5C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FC8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9DD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6B8D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B901">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804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ACB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BE0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0B6B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EBCA">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EE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143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1A5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3,673.80</w:t>
            </w:r>
            <w:r>
              <w:rPr>
                <w:rFonts w:ascii="Times New Roman" w:hAnsi="Times New Roman"/>
                <w:color w:val="000000"/>
                <w:sz w:val="20"/>
              </w:rPr>
              <w:t xml:space="preserve"> </w:t>
            </w:r>
          </w:p>
        </w:tc>
      </w:tr>
      <w:tr w14:paraId="24FF01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6B88">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D94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52BF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F9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4592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76CD">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557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503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7B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9293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0A0F">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39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3A9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0F4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D038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3375">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B7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D550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9F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A7A3B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21E2">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C3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77D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02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8D15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6C60">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4D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68F0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6B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r>
      <w:tr w14:paraId="211CC0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D8C5">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4E0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14FF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E2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B921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D4D3">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41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3FD6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5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A948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960C">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FE2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E04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969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BDAE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A9FC">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F9D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2F50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F5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6774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39C7">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A6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464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A4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9036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CB68">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87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E029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D8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9449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BBF5">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6E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435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37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FA32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EDA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572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3,777.50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C1A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5DA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3,777.50</w:t>
            </w:r>
            <w:r>
              <w:rPr>
                <w:rFonts w:ascii="Times New Roman" w:hAnsi="Times New Roman"/>
                <w:color w:val="000000"/>
                <w:sz w:val="20"/>
              </w:rPr>
              <w:t xml:space="preserve"> </w:t>
            </w:r>
          </w:p>
        </w:tc>
      </w:tr>
      <w:tr w14:paraId="6E7A4E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CC4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095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DD7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4A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0D0C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65B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616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EDBD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BEFA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rPr>
              <w:t xml:space="preserve"> </w:t>
            </w:r>
          </w:p>
        </w:tc>
      </w:tr>
      <w:tr w14:paraId="73439EF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072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59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3,789.15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24210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AD9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3,789.15</w:t>
            </w:r>
            <w:r>
              <w:rPr>
                <w:rFonts w:ascii="Times New Roman" w:hAnsi="Times New Roman"/>
                <w:color w:val="000000"/>
                <w:sz w:val="20"/>
              </w:rPr>
              <w:t xml:space="preserve"> </w:t>
            </w:r>
          </w:p>
        </w:tc>
      </w:tr>
    </w:tbl>
    <w:p w14:paraId="5725DB99">
      <w:pPr>
        <w:rPr>
          <w:rFonts w:hint="default" w:cs="宋体"/>
          <w:sz w:val="21"/>
          <w:szCs w:val="21"/>
        </w:rPr>
      </w:pPr>
    </w:p>
    <w:p w14:paraId="704852B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002"/>
        <w:gridCol w:w="2046"/>
        <w:gridCol w:w="1109"/>
        <w:gridCol w:w="1016"/>
        <w:gridCol w:w="881"/>
        <w:gridCol w:w="1007"/>
        <w:gridCol w:w="1024"/>
        <w:gridCol w:w="907"/>
        <w:gridCol w:w="946"/>
        <w:gridCol w:w="935"/>
      </w:tblGrid>
      <w:tr w14:paraId="56651C1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7914C4F">
            <w:pPr>
              <w:jc w:val="center"/>
              <w:textAlignment w:val="bottom"/>
              <w:rPr>
                <w:rFonts w:hint="default" w:cs="宋体"/>
                <w:b/>
                <w:color w:val="000000"/>
                <w:sz w:val="32"/>
                <w:szCs w:val="32"/>
              </w:rPr>
            </w:pPr>
          </w:p>
          <w:p w14:paraId="6790A169">
            <w:pPr>
              <w:jc w:val="center"/>
              <w:textAlignment w:val="bottom"/>
              <w:rPr>
                <w:rFonts w:hint="default" w:cs="宋体"/>
                <w:b/>
                <w:color w:val="000000"/>
                <w:sz w:val="32"/>
                <w:szCs w:val="32"/>
              </w:rPr>
            </w:pPr>
          </w:p>
          <w:p w14:paraId="1616868C">
            <w:pPr>
              <w:jc w:val="center"/>
              <w:textAlignment w:val="bottom"/>
              <w:rPr>
                <w:rFonts w:hint="default" w:cs="宋体"/>
                <w:b/>
                <w:color w:val="000000"/>
                <w:sz w:val="32"/>
                <w:szCs w:val="32"/>
              </w:rPr>
            </w:pPr>
          </w:p>
          <w:p w14:paraId="47A782C3">
            <w:pPr>
              <w:jc w:val="center"/>
              <w:textAlignment w:val="bottom"/>
              <w:rPr>
                <w:rFonts w:hint="default" w:cs="宋体"/>
                <w:b/>
                <w:color w:val="000000"/>
                <w:sz w:val="32"/>
                <w:szCs w:val="32"/>
              </w:rPr>
            </w:pPr>
          </w:p>
          <w:p w14:paraId="3050C0DC">
            <w:pPr>
              <w:jc w:val="center"/>
              <w:textAlignment w:val="bottom"/>
              <w:rPr>
                <w:rFonts w:hint="default" w:cs="宋体"/>
                <w:b/>
                <w:color w:val="000000"/>
                <w:sz w:val="32"/>
                <w:szCs w:val="32"/>
              </w:rPr>
            </w:pPr>
          </w:p>
          <w:p w14:paraId="759FAD1C">
            <w:pPr>
              <w:jc w:val="center"/>
              <w:textAlignment w:val="bottom"/>
              <w:rPr>
                <w:rFonts w:hint="default" w:cs="宋体"/>
                <w:b/>
                <w:color w:val="000000"/>
                <w:sz w:val="32"/>
                <w:szCs w:val="32"/>
              </w:rPr>
            </w:pPr>
          </w:p>
          <w:p w14:paraId="7112E6B9">
            <w:pPr>
              <w:jc w:val="center"/>
              <w:textAlignment w:val="bottom"/>
              <w:rPr>
                <w:rFonts w:hint="default" w:cs="宋体"/>
                <w:b/>
                <w:color w:val="000000"/>
                <w:sz w:val="32"/>
                <w:szCs w:val="32"/>
              </w:rPr>
            </w:pPr>
          </w:p>
          <w:p w14:paraId="3190CA2E">
            <w:pPr>
              <w:jc w:val="center"/>
              <w:textAlignment w:val="bottom"/>
              <w:rPr>
                <w:rFonts w:hint="default" w:cs="宋体"/>
                <w:b/>
                <w:color w:val="000000"/>
                <w:sz w:val="32"/>
                <w:szCs w:val="32"/>
              </w:rPr>
            </w:pPr>
            <w:r>
              <w:rPr>
                <w:rFonts w:cs="宋体"/>
                <w:b/>
                <w:color w:val="000000"/>
                <w:sz w:val="32"/>
                <w:szCs w:val="32"/>
              </w:rPr>
              <w:t>收入决算表</w:t>
            </w:r>
          </w:p>
        </w:tc>
      </w:tr>
      <w:tr w14:paraId="106AB4E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3F10F91">
            <w:pPr>
              <w:spacing w:line="280" w:lineRule="exact"/>
              <w:rPr>
                <w:rFonts w:hint="default" w:cs="宋体"/>
                <w:color w:val="000000"/>
                <w:sz w:val="20"/>
                <w:szCs w:val="20"/>
              </w:rPr>
            </w:pPr>
            <w:r>
              <w:rPr>
                <w:rFonts w:cs="宋体"/>
                <w:sz w:val="20"/>
                <w:szCs w:val="20"/>
              </w:rPr>
              <w:t>单位：</w:t>
            </w:r>
            <w:r>
              <w:rPr>
                <w:sz w:val="20"/>
              </w:rPr>
              <w:t>丰都县道路运输事务中心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317B01B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102EDC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777BCB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CB07DB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474053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855231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8D8B49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F0DE62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7BA65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010436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DB0B03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7B5E4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325925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AF19EE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8B0CFE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404033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593C1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1B9A435">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319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C3EA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D5747">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3363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6A9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359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F415">
            <w:pPr>
              <w:jc w:val="center"/>
              <w:textAlignment w:val="center"/>
              <w:rPr>
                <w:rFonts w:hint="default" w:cs="宋体"/>
                <w:b/>
                <w:color w:val="000000"/>
                <w:sz w:val="20"/>
                <w:szCs w:val="20"/>
              </w:rPr>
            </w:pPr>
            <w:r>
              <w:rPr>
                <w:rFonts w:cs="宋体"/>
                <w:b/>
                <w:color w:val="000000"/>
                <w:sz w:val="20"/>
                <w:szCs w:val="20"/>
              </w:rPr>
              <w:t>其他收入</w:t>
            </w:r>
          </w:p>
        </w:tc>
      </w:tr>
      <w:tr w14:paraId="60E7E3F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D821">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3A4B30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076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1B7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9B2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38C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7FC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BF8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488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9841">
            <w:pPr>
              <w:jc w:val="center"/>
              <w:rPr>
                <w:rFonts w:hint="default" w:cs="宋体"/>
                <w:b/>
                <w:color w:val="000000"/>
                <w:sz w:val="20"/>
                <w:szCs w:val="20"/>
              </w:rPr>
            </w:pPr>
          </w:p>
        </w:tc>
      </w:tr>
      <w:tr w14:paraId="2C6E20F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52D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4BFE2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169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0F3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092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5B2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AFF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AAB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AB4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7E79">
            <w:pPr>
              <w:jc w:val="center"/>
              <w:rPr>
                <w:rFonts w:hint="default" w:cs="宋体"/>
                <w:b/>
                <w:color w:val="000000"/>
                <w:sz w:val="20"/>
                <w:szCs w:val="20"/>
              </w:rPr>
            </w:pPr>
          </w:p>
        </w:tc>
      </w:tr>
      <w:tr w14:paraId="65A6600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74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AE5DD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207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95D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30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B73E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1E8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899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FB6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143C">
            <w:pPr>
              <w:jc w:val="center"/>
              <w:rPr>
                <w:rFonts w:hint="default" w:cs="宋体"/>
                <w:b/>
                <w:color w:val="000000"/>
                <w:sz w:val="20"/>
                <w:szCs w:val="20"/>
              </w:rPr>
            </w:pPr>
          </w:p>
        </w:tc>
      </w:tr>
      <w:tr w14:paraId="56D8999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BA4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E4D29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1E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96A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A13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C1C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949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03B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02C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A387">
            <w:pPr>
              <w:jc w:val="center"/>
              <w:rPr>
                <w:rFonts w:hint="default" w:cs="宋体"/>
                <w:b/>
                <w:color w:val="000000"/>
                <w:sz w:val="20"/>
                <w:szCs w:val="20"/>
              </w:rPr>
            </w:pPr>
          </w:p>
        </w:tc>
      </w:tr>
      <w:tr w14:paraId="37AA945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726D">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2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3,777.50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FF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3,777.50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E0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B3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65C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8FC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B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24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4368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989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BCC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9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D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F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F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5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C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5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B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920A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709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E00B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F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E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D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5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0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A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5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6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FDBD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ED1C">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2C9EB">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7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E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9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D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4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6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7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F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1EB8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793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9F0A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3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B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0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F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A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5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8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9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56CD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49E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2EE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C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2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B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0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2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5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8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5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7834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845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9BCF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4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5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0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9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F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0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4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C203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0E8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271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B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D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E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B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0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6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C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2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8139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979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A807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B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8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2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2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3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C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7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2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EF96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FC7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CE5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4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8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D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E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8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A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7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5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0C45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0CD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B7B22">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B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F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4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F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F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D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3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5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DA08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CFCD">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6781">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8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7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5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8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E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E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4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B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99C9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D45A">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4ACE6">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2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A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A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1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D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5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9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E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51C4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69A8">
            <w:pPr>
              <w:textAlignment w:val="center"/>
              <w:rPr>
                <w:rFonts w:hint="default" w:cs="宋体"/>
                <w:color w:val="000000"/>
                <w:sz w:val="20"/>
                <w:szCs w:val="20"/>
              </w:rPr>
            </w:pPr>
            <w:r>
              <w:rPr>
                <w:rFonts w:cs="宋体"/>
                <w:color w:val="000000"/>
                <w:sz w:val="20"/>
                <w:szCs w:val="20"/>
              </w:rPr>
              <w:t>2140112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E712">
            <w:pPr>
              <w:textAlignment w:val="center"/>
              <w:rPr>
                <w:rFonts w:hint="default" w:cs="宋体"/>
                <w:color w:val="000000"/>
                <w:sz w:val="20"/>
                <w:szCs w:val="20"/>
              </w:rPr>
            </w:pPr>
            <w:r>
              <w:rPr>
                <w:rFonts w:cs="宋体"/>
                <w:color w:val="000000"/>
                <w:sz w:val="20"/>
                <w:szCs w:val="20"/>
              </w:rPr>
              <w:t>公路运输管理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2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A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499.91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A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6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B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9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F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1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619F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9938">
            <w:pPr>
              <w:textAlignment w:val="center"/>
              <w:rPr>
                <w:rFonts w:hint="default"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9708D">
            <w:pPr>
              <w:textAlignment w:val="center"/>
              <w:rPr>
                <w:rFonts w:hint="default" w:cs="宋体"/>
                <w:color w:val="000000"/>
                <w:sz w:val="20"/>
                <w:szCs w:val="20"/>
              </w:rPr>
            </w:pPr>
            <w:r>
              <w:rPr>
                <w:rFonts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F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1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A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4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0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2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8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D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C662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4E4C">
            <w:pPr>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7EBF9">
            <w:pPr>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6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E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3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C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9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9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3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0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B87A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B421">
            <w:pPr>
              <w:textAlignment w:val="center"/>
              <w:rPr>
                <w:rFonts w:hint="default" w:cs="宋体"/>
                <w:color w:val="000000"/>
                <w:sz w:val="20"/>
                <w:szCs w:val="20"/>
              </w:rPr>
            </w:pPr>
            <w:r>
              <w:rPr>
                <w:rFonts w:cs="宋体"/>
                <w:color w:val="000000"/>
                <w:sz w:val="20"/>
                <w:szCs w:val="20"/>
              </w:rPr>
              <w:t>2149901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45A79">
            <w:pPr>
              <w:textAlignment w:val="center"/>
              <w:rPr>
                <w:rFonts w:hint="default" w:cs="宋体"/>
                <w:color w:val="000000"/>
                <w:sz w:val="20"/>
                <w:szCs w:val="20"/>
              </w:rPr>
            </w:pPr>
            <w:r>
              <w:rPr>
                <w:rFonts w:cs="宋体"/>
                <w:color w:val="000000"/>
                <w:sz w:val="20"/>
                <w:szCs w:val="20"/>
              </w:rPr>
              <w:t>公共交通运营补助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0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B9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C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7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D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2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0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D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35AB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149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8AF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A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7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C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C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1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0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5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0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C23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7B09">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A861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B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0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3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3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3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7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4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2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BA0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5636">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08F6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1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E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0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B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B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4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A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9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B487A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D81093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905"/>
        <w:gridCol w:w="2527"/>
        <w:gridCol w:w="1290"/>
        <w:gridCol w:w="1236"/>
        <w:gridCol w:w="1137"/>
        <w:gridCol w:w="1092"/>
        <w:gridCol w:w="1186"/>
        <w:gridCol w:w="1373"/>
      </w:tblGrid>
      <w:tr w14:paraId="54BFE7C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6098AA8">
            <w:pPr>
              <w:jc w:val="center"/>
              <w:textAlignment w:val="bottom"/>
              <w:rPr>
                <w:rFonts w:hint="default" w:cs="宋体"/>
                <w:b/>
                <w:color w:val="000000"/>
                <w:sz w:val="32"/>
                <w:szCs w:val="32"/>
              </w:rPr>
            </w:pPr>
            <w:r>
              <w:rPr>
                <w:rFonts w:cs="宋体"/>
                <w:b/>
                <w:color w:val="000000"/>
                <w:sz w:val="32"/>
                <w:szCs w:val="32"/>
              </w:rPr>
              <w:t>支出决算表</w:t>
            </w:r>
          </w:p>
        </w:tc>
      </w:tr>
      <w:tr w14:paraId="357C99F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463146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丰都县道路运输事务中心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D537A7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B8D56D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F84A12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32627D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4F8354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981F49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6E1A10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D05D4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F5646A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02577A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7D3E3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293533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D6832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1745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0AE2">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EAE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ED0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D5A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8F6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D6BC">
            <w:pPr>
              <w:jc w:val="center"/>
              <w:textAlignment w:val="center"/>
              <w:rPr>
                <w:rFonts w:hint="default" w:cs="宋体"/>
                <w:b/>
                <w:color w:val="000000"/>
                <w:sz w:val="20"/>
                <w:szCs w:val="20"/>
              </w:rPr>
            </w:pPr>
            <w:r>
              <w:rPr>
                <w:rFonts w:cs="宋体"/>
                <w:b/>
                <w:color w:val="000000"/>
                <w:sz w:val="20"/>
                <w:szCs w:val="20"/>
              </w:rPr>
              <w:t>对附属单位补助支出</w:t>
            </w:r>
          </w:p>
        </w:tc>
      </w:tr>
      <w:tr w14:paraId="0C2AA97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FB2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A7F3C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6DA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CEB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B59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349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B7E3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E50F">
            <w:pPr>
              <w:jc w:val="center"/>
              <w:rPr>
                <w:rFonts w:hint="default" w:cs="宋体"/>
                <w:b/>
                <w:color w:val="000000"/>
                <w:sz w:val="20"/>
                <w:szCs w:val="20"/>
              </w:rPr>
            </w:pPr>
          </w:p>
        </w:tc>
      </w:tr>
      <w:tr w14:paraId="5E17A7A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541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62936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64D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D76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3AE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740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DDF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D970">
            <w:pPr>
              <w:jc w:val="center"/>
              <w:rPr>
                <w:rFonts w:hint="default" w:cs="宋体"/>
                <w:b/>
                <w:color w:val="000000"/>
                <w:sz w:val="20"/>
                <w:szCs w:val="20"/>
              </w:rPr>
            </w:pPr>
          </w:p>
        </w:tc>
      </w:tr>
      <w:tr w14:paraId="7CD08CC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74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8DC91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DD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8E4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B58B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F23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160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217A2">
            <w:pPr>
              <w:jc w:val="center"/>
              <w:rPr>
                <w:rFonts w:hint="default" w:cs="宋体"/>
                <w:b/>
                <w:color w:val="000000"/>
                <w:sz w:val="20"/>
                <w:szCs w:val="20"/>
              </w:rPr>
            </w:pPr>
          </w:p>
        </w:tc>
      </w:tr>
      <w:tr w14:paraId="2BEF0C1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BC1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D783C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021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55D3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0BA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D99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611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A5BC1">
            <w:pPr>
              <w:jc w:val="center"/>
              <w:rPr>
                <w:rFonts w:hint="default" w:cs="宋体"/>
                <w:b/>
                <w:color w:val="000000"/>
                <w:sz w:val="20"/>
                <w:szCs w:val="20"/>
              </w:rPr>
            </w:pPr>
          </w:p>
        </w:tc>
      </w:tr>
      <w:tr w14:paraId="681FF41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B4B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1F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3,777.50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20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382.99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E0F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3,394.51</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38A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B01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EA4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D80CD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296A">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E83E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3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9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5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2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4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9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2CE9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916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44D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C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1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5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F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D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2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764B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982D">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29750">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9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6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0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8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C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B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E6C6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1C3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3068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A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F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5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0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6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B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EFF7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982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6BEB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2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9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5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C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6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958B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BE5B">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C3C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0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E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3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2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F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C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4BE5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3600">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E2BB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7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5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9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6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4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E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CA36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E76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93FB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A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5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6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F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6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7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DA8C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E5C3">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8962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C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8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9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5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3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4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7849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619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7BF7">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7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9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8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1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6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E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45A4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1D9D">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18E0">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3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D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0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3,394.51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F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5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C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12BA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AE3A">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B7321">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A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2,088.39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B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7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1,809.09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3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2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6DBF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D1B5">
            <w:pPr>
              <w:textAlignment w:val="center"/>
              <w:rPr>
                <w:rFonts w:hint="default" w:cs="宋体"/>
                <w:color w:val="000000"/>
                <w:sz w:val="20"/>
                <w:szCs w:val="20"/>
              </w:rPr>
            </w:pPr>
            <w:r>
              <w:rPr>
                <w:rFonts w:cs="宋体"/>
                <w:color w:val="000000"/>
                <w:sz w:val="20"/>
                <w:szCs w:val="20"/>
              </w:rPr>
              <w:t>2140112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9845D">
            <w:pPr>
              <w:textAlignment w:val="center"/>
              <w:rPr>
                <w:rFonts w:hint="default" w:cs="宋体"/>
                <w:color w:val="000000"/>
                <w:sz w:val="20"/>
                <w:szCs w:val="20"/>
              </w:rPr>
            </w:pPr>
            <w:r>
              <w:rPr>
                <w:rFonts w:cs="宋体"/>
                <w:color w:val="000000"/>
                <w:sz w:val="20"/>
                <w:szCs w:val="20"/>
              </w:rPr>
              <w:t>公路运输管理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3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8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C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C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F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3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7ACA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5C91">
            <w:pPr>
              <w:textAlignment w:val="center"/>
              <w:rPr>
                <w:rFonts w:hint="default"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F397B">
            <w:pPr>
              <w:textAlignment w:val="center"/>
              <w:rPr>
                <w:rFonts w:hint="default" w:cs="宋体"/>
                <w:color w:val="000000"/>
                <w:sz w:val="20"/>
                <w:szCs w:val="20"/>
              </w:rPr>
            </w:pPr>
            <w:r>
              <w:rPr>
                <w:rFonts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0A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3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A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1,588.47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1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4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E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5E49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2FA8">
            <w:pPr>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3D2E">
            <w:pPr>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3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7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8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A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2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4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1AE0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C41E">
            <w:pPr>
              <w:textAlignment w:val="center"/>
              <w:rPr>
                <w:rFonts w:hint="default" w:cs="宋体"/>
                <w:color w:val="000000"/>
                <w:sz w:val="20"/>
                <w:szCs w:val="20"/>
              </w:rPr>
            </w:pPr>
            <w:r>
              <w:rPr>
                <w:rFonts w:cs="宋体"/>
                <w:color w:val="000000"/>
                <w:sz w:val="20"/>
                <w:szCs w:val="20"/>
              </w:rPr>
              <w:t>2149901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E37E4">
            <w:pPr>
              <w:textAlignment w:val="center"/>
              <w:rPr>
                <w:rFonts w:hint="default" w:cs="宋体"/>
                <w:color w:val="000000"/>
                <w:sz w:val="20"/>
                <w:szCs w:val="20"/>
              </w:rPr>
            </w:pPr>
            <w:r>
              <w:rPr>
                <w:rFonts w:cs="宋体"/>
                <w:color w:val="000000"/>
                <w:sz w:val="20"/>
                <w:szCs w:val="20"/>
              </w:rPr>
              <w:t>公共交通运营补助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B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7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C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4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8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A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DD5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C55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E80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6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1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A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9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8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3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895E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DC7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32F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5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0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3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8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5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1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20FD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C5C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0FC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2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3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1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C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1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5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EECFBD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8D32EB">
      <w:pPr>
        <w:rPr>
          <w:rFonts w:hint="default" w:cs="宋体"/>
          <w:sz w:val="21"/>
          <w:szCs w:val="21"/>
        </w:rPr>
      </w:pPr>
      <w:r>
        <w:rPr>
          <w:rFonts w:cs="宋体"/>
          <w:sz w:val="21"/>
          <w:szCs w:val="21"/>
        </w:rPr>
        <w:br w:type="page"/>
      </w:r>
    </w:p>
    <w:p w14:paraId="38C76F36">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560"/>
        <w:gridCol w:w="869"/>
        <w:gridCol w:w="2741"/>
        <w:gridCol w:w="990"/>
        <w:gridCol w:w="990"/>
        <w:gridCol w:w="990"/>
        <w:gridCol w:w="1155"/>
      </w:tblGrid>
      <w:tr w14:paraId="0787B09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D106E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D99E61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D27248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丰都县道路运输事务中心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68FD7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85E4C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70EF1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7D581F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93CA5C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8E90C3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F9C94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4DD19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A0B91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B999E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98E40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688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D30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6CFAB6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9E60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6CF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A7F5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7C0A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52B35B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151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074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8503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51B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10FE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3465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FEF4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BD94A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B50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54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3,777.50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337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E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4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3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5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7DB6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7E9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E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462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C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0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A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D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9A7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B96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8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264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C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D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8A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4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3A0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BF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276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366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5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8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B9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B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71AE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9D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14F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9C0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7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E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5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B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E02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5B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6F8FB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0B3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00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87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8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C5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C86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C7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0D55D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815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5C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E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D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1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ADA3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B1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A930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37A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6D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3B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B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0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D533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92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C6551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A6C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0B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55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2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F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49E8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BC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03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20E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D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5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B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8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5A2B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72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8D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8CD1">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7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1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F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5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3EC0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28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06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7B0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5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6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8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B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A64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7F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00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6FD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55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3,673.80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1C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3,673.80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1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E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1455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B4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AB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D69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D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3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5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5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30DF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22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0D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E36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4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9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C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3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40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89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06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9D6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B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4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D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9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C34E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E2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78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BC7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D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D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C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9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72DE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89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05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5A7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5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C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9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8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8F9D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31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07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736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8E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BD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8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33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6715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0C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B6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A1B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E5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1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0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B036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35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C0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F8E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1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9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6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5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408E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A6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B5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219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8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B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5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0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8D0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53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7F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748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A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61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C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A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591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2BF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A2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134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3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AE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7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3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DC15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63E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80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02E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9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1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C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5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474B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2DC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DB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B31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3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9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6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2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DF1E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E7A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EA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3,777.50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074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83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3,777.50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5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3,777.50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1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F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8136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AB2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66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E6B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74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07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B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8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83E6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972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6F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0E5D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0D4F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FDF3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BB1A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D539A8">
            <w:pPr>
              <w:spacing w:line="200" w:lineRule="exact"/>
              <w:rPr>
                <w:rFonts w:hint="default" w:ascii="Times New Roman" w:hAnsi="Times New Roman"/>
                <w:color w:val="000000"/>
                <w:sz w:val="18"/>
                <w:szCs w:val="18"/>
              </w:rPr>
            </w:pPr>
          </w:p>
        </w:tc>
      </w:tr>
      <w:tr w14:paraId="7713D7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9E8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4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9F9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254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7E0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E36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1800">
            <w:pPr>
              <w:spacing w:line="200" w:lineRule="exact"/>
              <w:jc w:val="right"/>
              <w:rPr>
                <w:rFonts w:hint="default" w:ascii="Times New Roman" w:hAnsi="Times New Roman"/>
                <w:color w:val="000000"/>
                <w:sz w:val="18"/>
                <w:szCs w:val="18"/>
              </w:rPr>
            </w:pPr>
          </w:p>
        </w:tc>
      </w:tr>
      <w:tr w14:paraId="3CA529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73A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21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1A8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4C5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D6E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034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F2D5">
            <w:pPr>
              <w:spacing w:line="200" w:lineRule="exact"/>
              <w:jc w:val="right"/>
              <w:rPr>
                <w:rFonts w:hint="default" w:ascii="Times New Roman" w:hAnsi="Times New Roman"/>
                <w:color w:val="000000"/>
                <w:sz w:val="18"/>
                <w:szCs w:val="18"/>
              </w:rPr>
            </w:pPr>
          </w:p>
        </w:tc>
      </w:tr>
      <w:tr w14:paraId="573505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773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02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3,789.15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178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89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3,789.15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49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3,789.15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F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F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8EA44A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915"/>
        <w:gridCol w:w="2856"/>
        <w:gridCol w:w="2319"/>
        <w:gridCol w:w="2313"/>
        <w:gridCol w:w="2343"/>
      </w:tblGrid>
      <w:tr w14:paraId="561276A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CFEE2D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2FEACE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D1EE68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丰都县道路运输事务中心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819751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1C272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7F0248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41DC09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F699D3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02AB5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E669A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EE8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6B644B">
            <w:pPr>
              <w:jc w:val="center"/>
              <w:textAlignment w:val="center"/>
              <w:rPr>
                <w:rFonts w:hint="default" w:cs="宋体"/>
                <w:b/>
                <w:color w:val="000000"/>
                <w:sz w:val="20"/>
                <w:szCs w:val="20"/>
              </w:rPr>
            </w:pPr>
            <w:r>
              <w:rPr>
                <w:rFonts w:cs="宋体"/>
                <w:b/>
                <w:color w:val="000000"/>
                <w:sz w:val="20"/>
                <w:szCs w:val="20"/>
              </w:rPr>
              <w:t>本年支出</w:t>
            </w:r>
          </w:p>
        </w:tc>
      </w:tr>
      <w:tr w14:paraId="59941CF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D25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64E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6CBB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538C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CC094">
            <w:pPr>
              <w:jc w:val="center"/>
              <w:textAlignment w:val="center"/>
              <w:rPr>
                <w:rFonts w:hint="default" w:cs="宋体"/>
                <w:b/>
                <w:color w:val="000000"/>
                <w:sz w:val="20"/>
                <w:szCs w:val="20"/>
              </w:rPr>
            </w:pPr>
            <w:r>
              <w:rPr>
                <w:rFonts w:cs="宋体"/>
                <w:b/>
                <w:color w:val="000000"/>
                <w:sz w:val="20"/>
                <w:szCs w:val="20"/>
              </w:rPr>
              <w:t>项目支出</w:t>
            </w:r>
          </w:p>
        </w:tc>
      </w:tr>
      <w:tr w14:paraId="624DA87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4D8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6C8F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A8FF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539A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8A0DB">
            <w:pPr>
              <w:jc w:val="center"/>
              <w:rPr>
                <w:rFonts w:hint="default" w:cs="宋体"/>
                <w:b/>
                <w:color w:val="000000"/>
                <w:sz w:val="20"/>
                <w:szCs w:val="20"/>
              </w:rPr>
            </w:pPr>
          </w:p>
        </w:tc>
      </w:tr>
      <w:tr w14:paraId="5FC8687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790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547C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43E4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2D0D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5A3D3">
            <w:pPr>
              <w:jc w:val="center"/>
              <w:rPr>
                <w:rFonts w:hint="default" w:cs="宋体"/>
                <w:b/>
                <w:color w:val="000000"/>
                <w:sz w:val="20"/>
                <w:szCs w:val="20"/>
              </w:rPr>
            </w:pPr>
          </w:p>
        </w:tc>
      </w:tr>
      <w:tr w14:paraId="7CC29F5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89D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D4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3,777.50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1B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8A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3,394.51</w:t>
            </w:r>
            <w:r>
              <w:rPr>
                <w:rFonts w:ascii="Times New Roman" w:hAnsi="Times New Roman"/>
                <w:b/>
                <w:color w:val="000000"/>
                <w:sz w:val="20"/>
              </w:rPr>
              <w:t xml:space="preserve"> </w:t>
            </w:r>
          </w:p>
        </w:tc>
      </w:tr>
      <w:tr w14:paraId="574AB0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5FD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912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752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CA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58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101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2AD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B666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686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29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3E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4EFC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EE33">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4448">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92B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27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63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FE82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55E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9F4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B6E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5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4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6BD0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123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FA12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0A2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C9F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0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937B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C6E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8EEC">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54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26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1D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002E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0DB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0BD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31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A0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11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E202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2B7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92FC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E9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5F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6B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5B8F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7BB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ECC3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92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C9F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261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EBC8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E84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21F7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8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E7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7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7E3D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AF1B">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F3E7F">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47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3,673.80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B9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35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3,394.51</w:t>
            </w:r>
            <w:r>
              <w:rPr>
                <w:rFonts w:ascii="Times New Roman" w:hAnsi="Times New Roman"/>
                <w:b/>
                <w:color w:val="000000"/>
                <w:sz w:val="20"/>
              </w:rPr>
              <w:t xml:space="preserve"> </w:t>
            </w:r>
          </w:p>
        </w:tc>
      </w:tr>
      <w:tr w14:paraId="558D42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FDF3">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0F405">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02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2,088.39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879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F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1,809.09</w:t>
            </w:r>
            <w:r>
              <w:rPr>
                <w:rFonts w:ascii="Times New Roman" w:hAnsi="Times New Roman"/>
                <w:b/>
                <w:color w:val="000000"/>
                <w:sz w:val="20"/>
              </w:rPr>
              <w:t xml:space="preserve"> </w:t>
            </w:r>
          </w:p>
        </w:tc>
      </w:tr>
      <w:tr w14:paraId="1FAFE0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E2A3">
            <w:pPr>
              <w:textAlignment w:val="center"/>
              <w:rPr>
                <w:rFonts w:hint="default" w:cs="宋体"/>
                <w:color w:val="000000"/>
                <w:sz w:val="20"/>
                <w:szCs w:val="20"/>
              </w:rPr>
            </w:pPr>
            <w:r>
              <w:rPr>
                <w:rFonts w:cs="宋体"/>
                <w:color w:val="000000"/>
                <w:sz w:val="20"/>
                <w:szCs w:val="20"/>
              </w:rPr>
              <w:t>2140112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1D4F">
            <w:pPr>
              <w:textAlignment w:val="center"/>
              <w:rPr>
                <w:rFonts w:hint="default" w:cs="宋体"/>
                <w:color w:val="000000"/>
                <w:sz w:val="20"/>
                <w:szCs w:val="20"/>
              </w:rPr>
            </w:pPr>
            <w:r>
              <w:rPr>
                <w:rFonts w:cs="宋体"/>
                <w:color w:val="000000"/>
                <w:sz w:val="20"/>
                <w:szCs w:val="20"/>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B6A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D3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F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220.62</w:t>
            </w:r>
            <w:r>
              <w:rPr>
                <w:rFonts w:ascii="Times New Roman" w:hAnsi="Times New Roman"/>
                <w:color w:val="000000"/>
                <w:sz w:val="20"/>
              </w:rPr>
              <w:t xml:space="preserve"> </w:t>
            </w:r>
          </w:p>
        </w:tc>
      </w:tr>
      <w:tr w14:paraId="6F859D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04EB">
            <w:pPr>
              <w:textAlignment w:val="center"/>
              <w:rPr>
                <w:rFonts w:hint="default"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972EB">
            <w:pPr>
              <w:textAlignment w:val="center"/>
              <w:rPr>
                <w:rFonts w:hint="default" w:cs="宋体"/>
                <w:color w:val="000000"/>
                <w:sz w:val="20"/>
                <w:szCs w:val="20"/>
              </w:rPr>
            </w:pPr>
            <w:r>
              <w:rPr>
                <w:rFonts w:cs="宋体"/>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ACF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1,588.47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B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BC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1,588.47</w:t>
            </w:r>
            <w:r>
              <w:rPr>
                <w:rFonts w:ascii="Times New Roman" w:hAnsi="Times New Roman"/>
                <w:color w:val="000000"/>
                <w:sz w:val="20"/>
              </w:rPr>
              <w:t xml:space="preserve"> </w:t>
            </w:r>
          </w:p>
        </w:tc>
      </w:tr>
      <w:tr w14:paraId="4FCB98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A778">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22FA">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B7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1,585.41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602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E12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1,585.41</w:t>
            </w:r>
            <w:r>
              <w:rPr>
                <w:rFonts w:ascii="Times New Roman" w:hAnsi="Times New Roman"/>
                <w:b/>
                <w:color w:val="000000"/>
                <w:sz w:val="20"/>
              </w:rPr>
              <w:t xml:space="preserve"> </w:t>
            </w:r>
          </w:p>
        </w:tc>
      </w:tr>
      <w:tr w14:paraId="682C16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53A8">
            <w:pPr>
              <w:textAlignment w:val="center"/>
              <w:rPr>
                <w:rFonts w:hint="default" w:cs="宋体"/>
                <w:color w:val="000000"/>
                <w:sz w:val="20"/>
                <w:szCs w:val="20"/>
              </w:rPr>
            </w:pPr>
            <w:r>
              <w:rPr>
                <w:rFonts w:cs="宋体"/>
                <w:color w:val="000000"/>
                <w:sz w:val="20"/>
                <w:szCs w:val="20"/>
              </w:rPr>
              <w:t>2149901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126FD">
            <w:pPr>
              <w:textAlignment w:val="center"/>
              <w:rPr>
                <w:rFonts w:hint="default" w:cs="宋体"/>
                <w:color w:val="000000"/>
                <w:sz w:val="20"/>
                <w:szCs w:val="20"/>
              </w:rPr>
            </w:pPr>
            <w:r>
              <w:rPr>
                <w:rFonts w:cs="宋体"/>
                <w:color w:val="000000"/>
                <w:sz w:val="20"/>
                <w:szCs w:val="20"/>
              </w:rPr>
              <w:t>公共交通运营补助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469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9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33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1,585.41</w:t>
            </w:r>
            <w:r>
              <w:rPr>
                <w:rFonts w:ascii="Times New Roman" w:hAnsi="Times New Roman"/>
                <w:color w:val="000000"/>
                <w:sz w:val="20"/>
              </w:rPr>
              <w:t xml:space="preserve"> </w:t>
            </w:r>
          </w:p>
        </w:tc>
      </w:tr>
      <w:tr w14:paraId="72D190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5B3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652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0C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327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209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E6D6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338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8802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D8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A8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59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BC22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948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55A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C8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1C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96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932746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9E1848">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561"/>
        <w:gridCol w:w="1971"/>
        <w:gridCol w:w="1080"/>
        <w:gridCol w:w="612"/>
        <w:gridCol w:w="1425"/>
        <w:gridCol w:w="994"/>
        <w:gridCol w:w="612"/>
        <w:gridCol w:w="2428"/>
        <w:gridCol w:w="1050"/>
      </w:tblGrid>
      <w:tr w14:paraId="2DC3B0B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A0483B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9F0739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286734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丰都县道路运输事务中心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65B8A8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24EB3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3EA76C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43740D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1FE113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DAF4C19">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370398">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EC2BEB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B7CA78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1815C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C2944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9EC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791BD9">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EEF909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313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3C5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2B19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064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A1095">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D07C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B79D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09A14">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CF306">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B3983D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8DF8F">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B20B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491D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4961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4EA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544EA">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2F2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38F72">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9E77C">
            <w:pPr>
              <w:spacing w:line="192" w:lineRule="exact"/>
              <w:jc w:val="center"/>
              <w:rPr>
                <w:rFonts w:hint="default" w:cs="宋体"/>
                <w:b/>
                <w:color w:val="000000"/>
                <w:sz w:val="18"/>
                <w:szCs w:val="18"/>
              </w:rPr>
            </w:pPr>
          </w:p>
        </w:tc>
      </w:tr>
      <w:tr w14:paraId="5ABA6C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DE92">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1B82">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49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5E7F">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B66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B5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C0CE">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CEE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15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ADE6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17DE">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A8C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BC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6832">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3EFC">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B9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FE95">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7A94">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45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D297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FDDA">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C540">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60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D19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3ED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10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5478">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480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18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6ECB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8D76">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ADB7">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3B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B90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468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6C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871A">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9B1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36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DC9A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B65C">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193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A8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3B81">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D932">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A4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EA20">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0688">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BE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01A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F55A">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4A50">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D8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78E4">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6F4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36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9BE8">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AE4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0DF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2395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5EC66">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07E3">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BC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9238">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8D57">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3C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C8AE">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A83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D7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3FB8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DD57">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1B4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16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B304">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C35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43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9948">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571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DD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3E53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3AEA">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930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9D4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E7B7">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B1A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1C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B71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707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3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9BB8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9CFF">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C3E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81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FA56">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56E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20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A8A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E6E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64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EA59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91A3">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BE2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37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977F">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C7E4">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05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6C27">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4471">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6C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6EEF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868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7DD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3A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7329">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5045">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0B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0BB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455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BA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EFC9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F134">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1CC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05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B298">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E33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AF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E66D">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E69C">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AC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8A94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B991">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D5E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68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913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405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62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383A">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A0F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51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27B6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EB7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6A8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CB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4A8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84E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52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F162">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2074">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F1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200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36E5">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6BE0">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65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9CB4">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0C7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9B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C143">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B76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38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B63E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4EFB">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070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CB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B584">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54C8">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70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A9AE">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A2E0">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AE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6DF8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628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7E4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BF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CD0A">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F50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FE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551D">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F24A">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39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E2F6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984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169C">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EE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E57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3CC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25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D12B">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34C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E0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F967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07D2">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873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69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981F">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54E1">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41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57C5">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1AAC">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5E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B2AB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DAE0">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310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59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7CA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B6C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6A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3533">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DEA8">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3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ECA3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A6BE">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A24D">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04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E484">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99D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73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3BD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25AE">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27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231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24DB">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6677">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BE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6F1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3FF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CB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E65F">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2C9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EF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9D74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51AF">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5CA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7C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E9E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1A7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D7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D19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36A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D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DF72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0F5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3A0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78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DAF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F43A">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58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168A">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EBA1">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9E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5BAB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B67E">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F46F">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E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0525">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621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09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FE2C">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5A71">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4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6AD3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B59C">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BF3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E8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72C3">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660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E5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185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7CC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A2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BBB6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EFC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0F5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DE12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49E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6BB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0B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3EE1">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8234">
            <w:pPr>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0F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BB5E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356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B67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38E6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99F6">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F088">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02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F205">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9E05">
            <w:pPr>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0E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E8FE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500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0D9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7C63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3F08">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EF0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30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5284">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213A">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DB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A59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6F1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CFD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11D7D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3ADB">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ADC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44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66D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2E1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2334">
            <w:pPr>
              <w:spacing w:line="192" w:lineRule="exact"/>
              <w:jc w:val="right"/>
              <w:rPr>
                <w:rFonts w:hint="default" w:ascii="Times New Roman" w:hAnsi="Times New Roman"/>
                <w:color w:val="000000"/>
                <w:sz w:val="18"/>
                <w:szCs w:val="18"/>
              </w:rPr>
            </w:pPr>
          </w:p>
        </w:tc>
      </w:tr>
      <w:tr w14:paraId="75CB21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ABF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BE2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3911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B1EA">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E594">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DB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759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688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CF89">
            <w:pPr>
              <w:spacing w:line="192" w:lineRule="exact"/>
              <w:jc w:val="right"/>
              <w:rPr>
                <w:rFonts w:hint="default" w:ascii="Times New Roman" w:hAnsi="Times New Roman"/>
                <w:color w:val="000000"/>
                <w:sz w:val="18"/>
                <w:szCs w:val="18"/>
              </w:rPr>
            </w:pPr>
          </w:p>
        </w:tc>
      </w:tr>
      <w:tr w14:paraId="66FDF55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84A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F2D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711E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A98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1A7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CF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F3C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903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02A7">
            <w:pPr>
              <w:spacing w:line="192" w:lineRule="exact"/>
              <w:jc w:val="right"/>
              <w:rPr>
                <w:rFonts w:hint="default" w:ascii="Times New Roman" w:hAnsi="Times New Roman"/>
                <w:color w:val="000000"/>
                <w:sz w:val="18"/>
                <w:szCs w:val="18"/>
              </w:rPr>
            </w:pPr>
          </w:p>
        </w:tc>
      </w:tr>
      <w:tr w14:paraId="2152A07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DFB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B900AE">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328.14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3F3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E8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54.85</w:t>
            </w:r>
            <w:r>
              <w:rPr>
                <w:rFonts w:ascii="Times New Roman" w:hAnsi="Times New Roman"/>
                <w:color w:val="000000"/>
                <w:sz w:val="18"/>
              </w:rPr>
              <w:t xml:space="preserve"> </w:t>
            </w:r>
          </w:p>
        </w:tc>
      </w:tr>
    </w:tbl>
    <w:p w14:paraId="142AAA9C">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925"/>
        <w:gridCol w:w="2521"/>
        <w:gridCol w:w="1193"/>
        <w:gridCol w:w="1193"/>
        <w:gridCol w:w="1193"/>
        <w:gridCol w:w="1193"/>
        <w:gridCol w:w="1238"/>
        <w:gridCol w:w="1290"/>
      </w:tblGrid>
      <w:tr w14:paraId="622E97F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7EBB80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953AA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FCDDF2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丰都县道路运输事务中心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E2475D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9AB30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964AB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3F9A88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5FB88E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B3B307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E6390D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8477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5493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1D736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E637A8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CBFC42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6F726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F00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27F57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DA9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EACEF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4839">
            <w:pPr>
              <w:jc w:val="center"/>
              <w:textAlignment w:val="center"/>
              <w:rPr>
                <w:rFonts w:hint="default" w:cs="宋体"/>
                <w:b/>
                <w:color w:val="000000"/>
                <w:sz w:val="20"/>
                <w:szCs w:val="20"/>
              </w:rPr>
            </w:pPr>
            <w:r>
              <w:rPr>
                <w:rFonts w:cs="宋体"/>
                <w:b/>
                <w:color w:val="000000"/>
                <w:sz w:val="20"/>
                <w:szCs w:val="20"/>
              </w:rPr>
              <w:t>年末结转和结余</w:t>
            </w:r>
          </w:p>
        </w:tc>
      </w:tr>
      <w:tr w14:paraId="6ED883F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090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10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FAE80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C03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0025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BC88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E161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80E77">
            <w:pPr>
              <w:jc w:val="center"/>
              <w:rPr>
                <w:rFonts w:hint="default" w:cs="宋体"/>
                <w:b/>
                <w:color w:val="000000"/>
                <w:sz w:val="20"/>
                <w:szCs w:val="20"/>
              </w:rPr>
            </w:pPr>
          </w:p>
        </w:tc>
      </w:tr>
      <w:tr w14:paraId="042DF1A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012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844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0F752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361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BCF5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2292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49DD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B20E">
            <w:pPr>
              <w:jc w:val="center"/>
              <w:rPr>
                <w:rFonts w:hint="default" w:cs="宋体"/>
                <w:b/>
                <w:color w:val="000000"/>
                <w:sz w:val="20"/>
                <w:szCs w:val="20"/>
              </w:rPr>
            </w:pPr>
          </w:p>
        </w:tc>
      </w:tr>
      <w:tr w14:paraId="4EF21F2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295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872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2DD2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50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500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6733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3A8E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F121">
            <w:pPr>
              <w:jc w:val="center"/>
              <w:rPr>
                <w:rFonts w:hint="default" w:cs="宋体"/>
                <w:b/>
                <w:color w:val="000000"/>
                <w:sz w:val="20"/>
                <w:szCs w:val="20"/>
              </w:rPr>
            </w:pPr>
          </w:p>
        </w:tc>
      </w:tr>
      <w:tr w14:paraId="78E621A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118E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63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5F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00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3F4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366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771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9DDDBB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C67A">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C247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BE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4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E26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D3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AA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A6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F69E1B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964419D">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907"/>
        <w:gridCol w:w="2536"/>
        <w:gridCol w:w="2295"/>
        <w:gridCol w:w="133"/>
        <w:gridCol w:w="2429"/>
        <w:gridCol w:w="60"/>
        <w:gridCol w:w="2386"/>
      </w:tblGrid>
      <w:tr w14:paraId="7E7F14A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24F37B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EFD2E9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4BD3A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丰都县道路运输事务中心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6AF02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13B20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1D7C05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236B78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062DB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A2F1B1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E82B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2EC7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B8F35D">
            <w:pPr>
              <w:jc w:val="center"/>
              <w:textAlignment w:val="bottom"/>
              <w:rPr>
                <w:rFonts w:hint="default" w:cs="宋体"/>
                <w:b/>
                <w:color w:val="000000"/>
                <w:sz w:val="20"/>
                <w:szCs w:val="20"/>
              </w:rPr>
            </w:pPr>
            <w:r>
              <w:rPr>
                <w:rFonts w:cs="宋体"/>
                <w:b/>
                <w:color w:val="000000"/>
                <w:sz w:val="20"/>
                <w:szCs w:val="20"/>
              </w:rPr>
              <w:t>本年支出</w:t>
            </w:r>
          </w:p>
        </w:tc>
      </w:tr>
      <w:tr w14:paraId="5F1B3C7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279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8B4B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D73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4A0D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D531E">
            <w:pPr>
              <w:jc w:val="center"/>
              <w:textAlignment w:val="center"/>
              <w:rPr>
                <w:rFonts w:hint="default" w:cs="宋体"/>
                <w:b/>
                <w:color w:val="000000"/>
                <w:sz w:val="20"/>
                <w:szCs w:val="20"/>
              </w:rPr>
            </w:pPr>
            <w:r>
              <w:rPr>
                <w:rFonts w:cs="宋体"/>
                <w:b/>
                <w:color w:val="000000"/>
                <w:sz w:val="20"/>
                <w:szCs w:val="20"/>
              </w:rPr>
              <w:t>项目支出</w:t>
            </w:r>
          </w:p>
        </w:tc>
      </w:tr>
      <w:tr w14:paraId="0D08756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60B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78E0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2B3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8C9C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5A586">
            <w:pPr>
              <w:jc w:val="center"/>
              <w:rPr>
                <w:rFonts w:hint="default" w:cs="宋体"/>
                <w:b/>
                <w:color w:val="000000"/>
                <w:sz w:val="20"/>
                <w:szCs w:val="20"/>
              </w:rPr>
            </w:pPr>
          </w:p>
        </w:tc>
      </w:tr>
      <w:tr w14:paraId="6812DE1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511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42DC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3140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2D6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CD1B0">
            <w:pPr>
              <w:jc w:val="center"/>
              <w:rPr>
                <w:rFonts w:hint="default" w:cs="宋体"/>
                <w:b/>
                <w:color w:val="000000"/>
                <w:sz w:val="20"/>
                <w:szCs w:val="20"/>
              </w:rPr>
            </w:pPr>
          </w:p>
        </w:tc>
      </w:tr>
      <w:tr w14:paraId="7F5D9F1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DDE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65DF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1A2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2BCE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A9FC9">
            <w:pPr>
              <w:jc w:val="center"/>
              <w:rPr>
                <w:rFonts w:hint="default" w:cs="宋体"/>
                <w:b/>
                <w:color w:val="000000"/>
                <w:sz w:val="20"/>
                <w:szCs w:val="20"/>
              </w:rPr>
            </w:pPr>
          </w:p>
        </w:tc>
      </w:tr>
      <w:tr w14:paraId="3D7C778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832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7D3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6DB9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46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8C98F9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AD2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08A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81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88B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3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1A1A97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8C5E03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2227"/>
        <w:gridCol w:w="1695"/>
        <w:gridCol w:w="1665"/>
        <w:gridCol w:w="2575"/>
        <w:gridCol w:w="1748"/>
      </w:tblGrid>
      <w:tr w14:paraId="0F0EFB9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21E3F1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904C45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D94816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CCAFC5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EC7B7E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24EDA4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22B1A9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68742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DC2F23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丰都县道路运输事务中心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B32890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02ECDD0">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E2B4DC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87C23A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B54B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600B7">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C059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9C61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D9D0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C4F50F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AF41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373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EFD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1033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2E3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5F67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628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443A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5AE9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235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F064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EE42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971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4C1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63F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D4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E82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A1E1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D51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7C7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8198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8FA6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6D8B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5C44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D56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D77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7C3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9C3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C5FC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4ADB1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5FE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015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A19E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D73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8CB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971E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C37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2840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FCB5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7CB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88C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A87A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144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069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08C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D66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202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67AF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AC31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707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ECC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B4D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A38F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7049E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3D7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32A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9B2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9F8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474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3622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AC2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24C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AFA3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CC7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0CC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1836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CE0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12E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23D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D4D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EED5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BD4B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750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148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EDB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EA6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6AA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F67C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2DF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D22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C7E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7E6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FB4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CF58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44E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7E4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9175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712F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3556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4AD1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4D5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606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2EA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57F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B95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95D0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98E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179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5D6A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FB6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F02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94DC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D2D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0A7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BD35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A96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6A5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8C61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CD4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DE8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4D9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64D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15A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5B49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AED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7D6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5109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6DF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498B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DC69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542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6696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6A4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A55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62A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14130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0848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94B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F03D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EDE0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A5126">
            <w:pPr>
              <w:spacing w:line="280" w:lineRule="exact"/>
              <w:jc w:val="right"/>
              <w:rPr>
                <w:rFonts w:hint="default" w:cs="宋体"/>
                <w:color w:val="000000"/>
                <w:kern w:val="2"/>
                <w:sz w:val="16"/>
                <w:szCs w:val="16"/>
              </w:rPr>
            </w:pPr>
          </w:p>
        </w:tc>
      </w:tr>
      <w:tr w14:paraId="6D30838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0DB1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96E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284C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90A2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B3570">
            <w:pPr>
              <w:spacing w:line="280" w:lineRule="exact"/>
              <w:jc w:val="right"/>
              <w:rPr>
                <w:rFonts w:hint="default" w:cs="宋体"/>
                <w:color w:val="000000"/>
                <w:kern w:val="2"/>
                <w:sz w:val="16"/>
                <w:szCs w:val="16"/>
              </w:rPr>
            </w:pPr>
          </w:p>
        </w:tc>
      </w:tr>
      <w:tr w14:paraId="3BC40FF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1F6D5">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488EB">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B6D9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0B07E">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41786">
            <w:pPr>
              <w:spacing w:line="280" w:lineRule="exact"/>
              <w:jc w:val="right"/>
              <w:rPr>
                <w:rFonts w:hint="default" w:cs="宋体"/>
                <w:color w:val="000000"/>
                <w:sz w:val="16"/>
                <w:szCs w:val="16"/>
              </w:rPr>
            </w:pPr>
          </w:p>
        </w:tc>
      </w:tr>
    </w:tbl>
    <w:p w14:paraId="62CF8FE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1850" w:h="16783"/>
      <w:pgMar w:top="1037" w:right="567" w:bottom="454"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3F7D">
    <w:pPr>
      <w:pStyle w:val="6"/>
      <w:rPr>
        <w:rFonts w:hint="default"/>
      </w:rPr>
    </w:pPr>
    <w:r>
      <w:rPr>
        <w:rFonts w:hint="default"/>
      </w:rPr>
      <w:pict>
        <v:shape id="_x0000_s1035" o:spid="_x0000_s103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417D19EB">
                <w:pPr>
                  <w:pStyle w:val="6"/>
                  <w:rPr>
                    <w:rFonts w:hint="default"/>
                  </w:rPr>
                </w:pPr>
                <w:r>
                  <w:fldChar w:fldCharType="begin"/>
                </w:r>
                <w:r>
                  <w:instrText xml:space="preserve"> PAGE  \* MERGEFORMAT </w:instrText>
                </w:r>
                <w:r>
                  <w:fldChar w:fldCharType="separate"/>
                </w:r>
                <w:r>
                  <w:rPr>
                    <w:rFonts w:hint="default"/>
                  </w:rPr>
                  <w:t>- 11 -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571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EED80C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rPr>
                    <w:rFonts w:hint="default"/>
                  </w:rP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46ADA3D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DC8A">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242F1"/>
    <w:multiLevelType w:val="multilevel"/>
    <w:tmpl w:val="AF0242F1"/>
    <w:lvl w:ilvl="0" w:tentative="0">
      <w:start w:val="2"/>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76B13"/>
    <w:rsid w:val="00187052"/>
    <w:rsid w:val="001D3BB7"/>
    <w:rsid w:val="002B254B"/>
    <w:rsid w:val="0034050A"/>
    <w:rsid w:val="0044504F"/>
    <w:rsid w:val="00466C9B"/>
    <w:rsid w:val="00480B34"/>
    <w:rsid w:val="00486CFC"/>
    <w:rsid w:val="00491DDD"/>
    <w:rsid w:val="00523FC9"/>
    <w:rsid w:val="00550ABE"/>
    <w:rsid w:val="005A4D91"/>
    <w:rsid w:val="00623A85"/>
    <w:rsid w:val="006B0375"/>
    <w:rsid w:val="006B5531"/>
    <w:rsid w:val="0074364C"/>
    <w:rsid w:val="00770383"/>
    <w:rsid w:val="007819D4"/>
    <w:rsid w:val="007B419D"/>
    <w:rsid w:val="007B7C4B"/>
    <w:rsid w:val="007D3D39"/>
    <w:rsid w:val="007E1E80"/>
    <w:rsid w:val="00923738"/>
    <w:rsid w:val="00984C6A"/>
    <w:rsid w:val="00994AF7"/>
    <w:rsid w:val="009B67B8"/>
    <w:rsid w:val="009C14C9"/>
    <w:rsid w:val="009D2B67"/>
    <w:rsid w:val="009E1452"/>
    <w:rsid w:val="00A52E53"/>
    <w:rsid w:val="00A566F9"/>
    <w:rsid w:val="00AF2751"/>
    <w:rsid w:val="00B03CCD"/>
    <w:rsid w:val="00B15D36"/>
    <w:rsid w:val="00B80B92"/>
    <w:rsid w:val="00BE2B89"/>
    <w:rsid w:val="00BF0D89"/>
    <w:rsid w:val="00C10E9E"/>
    <w:rsid w:val="00C20C3E"/>
    <w:rsid w:val="00C5163E"/>
    <w:rsid w:val="00CF2ACF"/>
    <w:rsid w:val="00D03AAF"/>
    <w:rsid w:val="00DD0539"/>
    <w:rsid w:val="00E07662"/>
    <w:rsid w:val="00E368E9"/>
    <w:rsid w:val="00E93568"/>
    <w:rsid w:val="00EE1E33"/>
    <w:rsid w:val="00F62C32"/>
    <w:rsid w:val="00F73F90"/>
    <w:rsid w:val="00FA3CEF"/>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0F963C9"/>
    <w:rsid w:val="51064DCD"/>
    <w:rsid w:val="51D21804"/>
    <w:rsid w:val="521A427A"/>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link w:val="2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customStyle="1" w:styleId="20">
    <w:name w:val="p0"/>
    <w:qFormat/>
    <w:uiPriority w:val="0"/>
    <w:pPr>
      <w:jc w:val="both"/>
    </w:pPr>
    <w:rPr>
      <w:rFonts w:ascii="Times New Roman" w:hAnsi="Times New Roman" w:eastAsia="宋体" w:cs="宋体"/>
      <w:sz w:val="21"/>
      <w:szCs w:val="21"/>
      <w:lang w:val="en-US" w:eastAsia="zh-CN" w:bidi="ar-SA"/>
    </w:rPr>
  </w:style>
  <w:style w:type="character" w:customStyle="1" w:styleId="21">
    <w:name w:val="页脚 Char"/>
    <w:basedOn w:val="12"/>
    <w:link w:val="6"/>
    <w:qFormat/>
    <w:uiPriority w:val="0"/>
    <w:rPr>
      <w:rFonts w:ascii="宋体" w:hAnsi="宋体"/>
      <w:sz w:val="18"/>
      <w:szCs w:val="18"/>
    </w:rPr>
  </w:style>
  <w:style w:type="character" w:customStyle="1" w:styleId="22">
    <w:name w:val="29"/>
    <w:basedOn w:val="1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8741</Words>
  <Characters>11515</Characters>
  <Lines>103</Lines>
  <Paragraphs>29</Paragraphs>
  <TotalTime>68</TotalTime>
  <ScaleCrop>false</ScaleCrop>
  <LinksUpToDate>false</LinksUpToDate>
  <CharactersWithSpaces>12632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dcterms:modified xsi:type="dcterms:W3CDTF">2025-09-11T07:14:31Z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eyJoZGlkIjoiZmQzM2VmMDU3MGVkNDU1YjRhOTM0NjlhYWUyMmMxZDEiLCJ1c2VySWQiOiI2NDc4MTk1NzUifQ==</vt:lpwstr>
  </property>
</Properties>
</file>