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rPr>
          <w:rFonts w:hint="default" w:ascii="Times New Roman" w:hAnsi="Times New Roman" w:eastAsia="仿宋_GB2312" w:cs="Times New Roman"/>
          <w:sz w:val="32"/>
        </w:rPr>
      </w:pPr>
    </w:p>
    <w:p>
      <w:pPr>
        <w:snapToGrid w:val="0"/>
        <w:rPr>
          <w:rFonts w:hint="default" w:ascii="Times New Roman" w:hAnsi="Times New Roman" w:eastAsia="仿宋_GB2312" w:cs="Times New Roman"/>
          <w:sz w:val="32"/>
        </w:rPr>
      </w:pPr>
    </w:p>
    <w:tbl>
      <w:tblPr>
        <w:tblStyle w:val="5"/>
        <w:tblW w:w="0" w:type="auto"/>
        <w:tblInd w:w="108" w:type="dxa"/>
        <w:tblLayout w:type="fixed"/>
        <w:tblCellMar>
          <w:top w:w="0" w:type="dxa"/>
          <w:left w:w="108" w:type="dxa"/>
          <w:bottom w:w="0" w:type="dxa"/>
          <w:right w:w="108" w:type="dxa"/>
        </w:tblCellMar>
      </w:tblPr>
      <w:tblGrid>
        <w:gridCol w:w="8820"/>
      </w:tblGrid>
      <w:tr>
        <w:trPr>
          <w:cantSplit/>
        </w:trPr>
        <w:tc>
          <w:tcPr>
            <w:tcW w:w="8820" w:type="dxa"/>
            <w:tcBorders>
              <w:top w:val="nil"/>
              <w:left w:val="nil"/>
              <w:bottom w:val="nil"/>
              <w:right w:val="nil"/>
            </w:tcBorders>
            <w:noWrap w:val="0"/>
            <w:vAlign w:val="top"/>
          </w:tcPr>
          <w:p>
            <w:pPr>
              <w:rPr>
                <w:rFonts w:hint="default" w:ascii="Times New Roman" w:hAnsi="Times New Roman" w:cs="Times New Roman"/>
              </w:rPr>
            </w:pPr>
          </w:p>
          <w:p>
            <w:pPr>
              <w:snapToGrid w:val="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丰人社</w:t>
            </w:r>
            <w:r>
              <w:rPr>
                <w:rFonts w:hint="default" w:ascii="Times New Roman" w:hAnsi="Times New Roman" w:eastAsia="方正仿宋_GBK" w:cs="Times New Roman"/>
                <w:sz w:val="32"/>
                <w:szCs w:val="32"/>
                <w:lang w:eastAsia="zh-CN"/>
              </w:rPr>
              <w:t>发</w:t>
            </w:r>
            <w:r>
              <w:rPr>
                <w:rFonts w:hint="default" w:ascii="Times New Roman" w:hAnsi="Times New Roman" w:eastAsia="方正仿宋_GBK" w:cs="Times New Roman"/>
                <w:sz w:val="32"/>
                <w:szCs w:val="32"/>
              </w:rPr>
              <w:t>〔20</w:t>
            </w:r>
            <w:r>
              <w:rPr>
                <w:rFonts w:hint="eastAsia" w:cs="Times New Roman"/>
                <w:sz w:val="32"/>
                <w:szCs w:val="32"/>
                <w:lang w:val="en-US" w:eastAsia="zh-CN"/>
              </w:rPr>
              <w:t>25</w:t>
            </w:r>
            <w:r>
              <w:rPr>
                <w:rFonts w:hint="default" w:ascii="Times New Roman" w:hAnsi="Times New Roman" w:eastAsia="方正仿宋_GBK" w:cs="Times New Roman"/>
                <w:sz w:val="32"/>
                <w:szCs w:val="32"/>
              </w:rPr>
              <w:t>〕</w:t>
            </w:r>
            <w:r>
              <w:rPr>
                <w:rFonts w:hint="eastAsia" w:cs="Times New Roman"/>
                <w:sz w:val="32"/>
                <w:szCs w:val="32"/>
                <w:lang w:val="en-US" w:eastAsia="zh-CN"/>
              </w:rPr>
              <w:t>50</w:t>
            </w:r>
            <w:r>
              <w:rPr>
                <w:rFonts w:hint="default" w:ascii="Times New Roman" w:hAnsi="Times New Roman" w:eastAsia="方正仿宋_GBK" w:cs="Times New Roman"/>
                <w:sz w:val="32"/>
                <w:szCs w:val="32"/>
              </w:rPr>
              <w:t>号</w:t>
            </w:r>
          </w:p>
        </w:tc>
      </w:tr>
    </w:tbl>
    <w:p>
      <w:pPr>
        <w:rPr>
          <w:rFonts w:hint="default" w:ascii="Times New Roman" w:hAnsi="Times New Roman" w:eastAsia="仿宋_GB2312" w:cs="Times New Roman"/>
          <w:b/>
          <w:bCs/>
          <w:sz w:val="32"/>
          <w:szCs w:val="32"/>
        </w:rPr>
      </w:pPr>
    </w:p>
    <w:p>
      <w:pPr>
        <w:jc w:val="center"/>
        <w:rPr>
          <w:rFonts w:hint="default" w:ascii="Times New Roman" w:hAnsi="Times New Roman" w:cs="Times New Roman"/>
          <w:b/>
          <w:bCs/>
          <w:sz w:val="44"/>
          <w:szCs w:val="44"/>
        </w:rPr>
      </w:pPr>
    </w:p>
    <w:p>
      <w:pPr>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jc w:val="center"/>
        <w:textAlignment w:val="auto"/>
        <w:rPr>
          <w:rFonts w:hint="eastAsia" w:ascii="方正小标宋_GBK" w:hAnsi="方正小标宋_GBK" w:eastAsia="方正小标宋_GBK" w:cs="方正小标宋_GBK"/>
          <w:color w:val="000000"/>
          <w:kern w:val="2"/>
          <w:sz w:val="44"/>
          <w:szCs w:val="44"/>
        </w:rPr>
      </w:pPr>
      <w:r>
        <w:rPr>
          <w:rFonts w:hint="eastAsia" w:ascii="方正小标宋_GBK" w:hAnsi="方正小标宋_GBK" w:eastAsia="方正小标宋_GBK" w:cs="方正小标宋_GBK"/>
          <w:color w:val="000000"/>
          <w:kern w:val="2"/>
          <w:sz w:val="44"/>
          <w:szCs w:val="44"/>
        </w:rPr>
        <w:t>丰都县人力资源和社会保障局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eastAsia" w:ascii="方正小标宋_GBK" w:eastAsia="方正小标宋_GBK"/>
          <w:sz w:val="44"/>
          <w:szCs w:val="44"/>
        </w:rPr>
      </w:pPr>
      <w:r>
        <w:rPr>
          <w:rFonts w:hint="eastAsia" w:ascii="方正小标宋_GBK" w:eastAsia="方正小标宋_GBK"/>
          <w:sz w:val="44"/>
          <w:szCs w:val="44"/>
        </w:rPr>
        <w:t>关于同意重庆创发路桥建设有限公司部分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eastAsia" w:ascii="方正小标宋_GBK" w:eastAsia="方正小标宋_GBK"/>
          <w:sz w:val="44"/>
          <w:szCs w:val="44"/>
        </w:rPr>
      </w:pPr>
      <w:r>
        <w:rPr>
          <w:rFonts w:hint="eastAsia" w:ascii="方正小标宋_GBK" w:eastAsia="方正小标宋_GBK"/>
          <w:sz w:val="44"/>
          <w:szCs w:val="44"/>
        </w:rPr>
        <w:t>工作岗位实行特殊工时制度的批复</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left="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重庆创发路桥建设有限公司：</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你公司关于实行特殊工时制度的</w:t>
      </w:r>
      <w:r>
        <w:rPr>
          <w:rFonts w:hint="default" w:ascii="Times New Roman" w:hAnsi="Times New Roman" w:eastAsia="方正仿宋_GBK" w:cs="Times New Roman"/>
          <w:sz w:val="32"/>
          <w:szCs w:val="32"/>
          <w:lang w:val="en-US" w:eastAsia="zh-CN"/>
        </w:rPr>
        <w:t>申请</w:t>
      </w:r>
      <w:r>
        <w:rPr>
          <w:rFonts w:hint="default" w:ascii="Times New Roman" w:hAnsi="Times New Roman" w:eastAsia="方正仿宋_GBK" w:cs="Times New Roman"/>
          <w:sz w:val="32"/>
          <w:szCs w:val="32"/>
        </w:rPr>
        <w:t>收悉。经研究，现批复如下：</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一、根据《中华人民共和国劳动法》第三十九条和原劳动部《关于印发〈关于企业实行不定时工作制和综合计算工时工作制的审批办法〉的通知》（劳部发〔1994〕503号）规定，原则同意你公司部分工作岗位在202</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rPr>
        <w:t>月至202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月期间，实行不定时工作制和以</w:t>
      </w:r>
      <w:r>
        <w:rPr>
          <w:rFonts w:hint="default" w:ascii="Times New Roman" w:hAnsi="Times New Roman" w:eastAsia="方正仿宋_GBK" w:cs="Times New Roman"/>
          <w:sz w:val="32"/>
          <w:szCs w:val="32"/>
          <w:lang w:val="en-US" w:eastAsia="zh-CN"/>
        </w:rPr>
        <w:t>月</w:t>
      </w:r>
      <w:r>
        <w:rPr>
          <w:rFonts w:hint="default" w:ascii="Times New Roman" w:hAnsi="Times New Roman" w:eastAsia="方正仿宋_GBK" w:cs="Times New Roman"/>
          <w:sz w:val="32"/>
          <w:szCs w:val="32"/>
        </w:rPr>
        <w:t>为周期的综合计算工时工作制。具体意见如下：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color w:val="auto"/>
          <w:sz w:val="32"/>
          <w:szCs w:val="32"/>
        </w:rPr>
        <w:t>一）公司的</w:t>
      </w:r>
      <w:r>
        <w:rPr>
          <w:rFonts w:hint="default" w:ascii="Times New Roman" w:hAnsi="Times New Roman" w:eastAsia="方正仿宋_GBK" w:cs="Times New Roman"/>
          <w:color w:val="auto"/>
          <w:sz w:val="32"/>
          <w:szCs w:val="32"/>
          <w:lang w:val="en-US" w:eastAsia="zh-CN"/>
        </w:rPr>
        <w:t>董事长、副总经理、总工程师、总经济师、部门部长、部门副部长、项目</w:t>
      </w:r>
      <w:r>
        <w:rPr>
          <w:rFonts w:hint="default" w:ascii="Times New Roman" w:hAnsi="Times New Roman" w:eastAsia="方正仿宋_GBK" w:cs="Times New Roman"/>
          <w:sz w:val="32"/>
          <w:szCs w:val="32"/>
          <w:lang w:val="en-US" w:eastAsia="zh-CN"/>
        </w:rPr>
        <w:t>经理、</w:t>
      </w:r>
      <w:r>
        <w:rPr>
          <w:rFonts w:hint="default" w:ascii="Times New Roman" w:hAnsi="Times New Roman" w:eastAsia="方正仿宋_GBK" w:cs="Times New Roman"/>
          <w:color w:val="auto"/>
          <w:sz w:val="32"/>
          <w:szCs w:val="32"/>
          <w:lang w:val="en-US" w:eastAsia="zh-CN"/>
        </w:rPr>
        <w:t>项目副</w:t>
      </w:r>
      <w:r>
        <w:rPr>
          <w:rFonts w:hint="default" w:ascii="Times New Roman" w:hAnsi="Times New Roman" w:eastAsia="方正仿宋_GBK" w:cs="Times New Roman"/>
          <w:sz w:val="32"/>
          <w:szCs w:val="32"/>
          <w:lang w:val="en-US" w:eastAsia="zh-CN"/>
        </w:rPr>
        <w:t>经理、项目</w:t>
      </w:r>
      <w:r>
        <w:rPr>
          <w:rFonts w:hint="default" w:ascii="Times New Roman" w:hAnsi="Times New Roman" w:eastAsia="方正仿宋_GBK" w:cs="Times New Roman"/>
          <w:color w:val="auto"/>
          <w:sz w:val="32"/>
          <w:szCs w:val="32"/>
          <w:lang w:val="en-US" w:eastAsia="zh-CN"/>
        </w:rPr>
        <w:t>总工程师、项目总经济师、项目部长、项目副部长、驾驶员实行不定时工作制</w:t>
      </w:r>
      <w:r>
        <w:rPr>
          <w:rFonts w:hint="default" w:ascii="Times New Roman" w:hAnsi="Times New Roman" w:eastAsia="方正仿宋_GBK"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（二）公司的</w:t>
      </w:r>
      <w:r>
        <w:rPr>
          <w:rFonts w:hint="default" w:ascii="Times New Roman" w:hAnsi="Times New Roman" w:eastAsia="方正仿宋_GBK" w:cs="Times New Roman"/>
          <w:sz w:val="32"/>
          <w:szCs w:val="32"/>
          <w:lang w:val="en-US" w:eastAsia="zh-CN"/>
        </w:rPr>
        <w:t>厨师、杂工、一般管理人员实行</w:t>
      </w:r>
      <w:r>
        <w:rPr>
          <w:rFonts w:hint="default" w:ascii="Times New Roman" w:hAnsi="Times New Roman" w:eastAsia="方正仿宋_GBK" w:cs="Times New Roman"/>
          <w:sz w:val="32"/>
          <w:szCs w:val="32"/>
        </w:rPr>
        <w:t>以</w:t>
      </w:r>
      <w:r>
        <w:rPr>
          <w:rFonts w:hint="default" w:ascii="Times New Roman" w:hAnsi="Times New Roman" w:eastAsia="方正仿宋_GBK" w:cs="Times New Roman"/>
          <w:sz w:val="32"/>
          <w:szCs w:val="32"/>
          <w:lang w:val="en-US" w:eastAsia="zh-CN"/>
        </w:rPr>
        <w:t>月</w:t>
      </w:r>
      <w:r>
        <w:rPr>
          <w:rFonts w:hint="default" w:ascii="Times New Roman" w:hAnsi="Times New Roman" w:eastAsia="方正仿宋_GBK" w:cs="Times New Roman"/>
          <w:sz w:val="32"/>
          <w:szCs w:val="32"/>
        </w:rPr>
        <w:t>为周期的综合计算工时工作制。</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二、实行不定时工作制职工每天的实际工作时间应与法定标准工作时间基本相同且平均每周至少休息一天。</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实行综合计算工时工作制职工的平均日工作时间和综合计算周期内的工作天数应与法定标准工作时间基本相同。确因工作需要延长工作时间的，请严格执行《中华人民共和国劳动法》第四十一条关于加班程序、加班时间及第四十四条关于加班费计算标准的规定。</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四</w:t>
      </w:r>
      <w:r>
        <w:rPr>
          <w:rFonts w:hint="default" w:ascii="Times New Roman" w:hAnsi="Times New Roman" w:eastAsia="方正仿宋_GBK" w:cs="Times New Roman"/>
          <w:sz w:val="32"/>
          <w:szCs w:val="32"/>
        </w:rPr>
        <w:t>、此批复及你公司《关于部分工作岗位实行特殊工时制度的请示》应向职工公示15个工作日，并请严格按批复的岗位人员范围依法组织实施，保障职工休息休假等权利。</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方正仿宋_GBK" w:cs="Times New Roman"/>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left="0" w:leftChars="0" w:firstLine="3840" w:firstLineChars="1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丰都县人力资源和社会保障局</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4800" w:firstLineChars="15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25</w:t>
      </w:r>
      <w:r>
        <w:rPr>
          <w:rFonts w:hint="default" w:ascii="Times New Roman" w:hAnsi="Times New Roman" w:eastAsia="方正仿宋_GBK" w:cs="Times New Roman"/>
          <w:sz w:val="32"/>
          <w:szCs w:val="32"/>
        </w:rPr>
        <w:t xml:space="preserve">日 </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sz w:val="32"/>
          <w:szCs w:val="32"/>
        </w:rPr>
      </w:pPr>
    </w:p>
    <w:sectPr>
      <w:footerReference r:id="rId5" w:type="default"/>
      <w:footerReference r:id="rId6" w:type="even"/>
      <w:pgSz w:w="11907" w:h="16840"/>
      <w:pgMar w:top="2098" w:right="1474" w:bottom="1984" w:left="1587" w:header="851" w:footer="992" w:gutter="0"/>
      <w:pgNumType w:fmt="decimal"/>
      <w:cols w:space="0" w:num="1"/>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方正黑体_GBK"/>
    <w:panose1 w:val="020B0503020204020204"/>
    <w:charset w:val="86"/>
    <w:family w:val="swiss"/>
    <w:pitch w:val="default"/>
    <w:sig w:usb0="00000000" w:usb1="00000000" w:usb2="00000016" w:usb3="00000000" w:csb0="0004001F" w:csb1="00000000"/>
  </w:font>
  <w:font w:name="方正仿宋_GBK">
    <w:panose1 w:val="02000000000000000000"/>
    <w:charset w:val="86"/>
    <w:family w:val="script"/>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tabs>
                              <w:tab w:val="center" w:pos="4153"/>
                              <w:tab w:val="right" w:pos="8306"/>
                            </w:tabs>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vert="horz" wrap="none" lIns="0" tIns="0" rIns="0" bIns="0" anchor="t" upright="false">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WAAAAZHJzL1BLAQIUABQAAAAIAIdO4kDOqXm5zwAAAAUBAAAPAAAAAAAAAAEAIAAAADgA&#10;AABkcnMvZG93bnJldi54bWxQSwECFAAUAAAACACHTuJA0kP5Z8MBAABpAwAADgAAAAAAAAABACAA&#10;AAA0AQAAZHJzL2Uyb0RvYy54bWxQSwUGAAAAAAYABgBZAQAAaQUAAAAA&#10;">
              <v:fill on="f" focussize="0,0"/>
              <v:stroke on="f"/>
              <v:imagedata o:title=""/>
              <o:lock v:ext="edit" aspectratio="f"/>
              <v:textbox inset="0mm,0mm,0mm,0mm" style="mso-fit-shape-to-text:t;">
                <w:txbxContent>
                  <w:p>
                    <w:pPr>
                      <w:tabs>
                        <w:tab w:val="center" w:pos="4153"/>
                        <w:tab w:val="right" w:pos="8306"/>
                      </w:tabs>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p>
    <w:pPr>
      <w:tabs>
        <w:tab w:val="center" w:pos="4153"/>
        <w:tab w:val="right" w:pos="8306"/>
      </w:tabs>
      <w:ind w:right="360"/>
      <w:jc w:val="both"/>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true"/>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1ZjBjNWIwNGZmMGUxYmViYjcxNmI1NTNkNjE2MjYifQ=="/>
  </w:docVars>
  <w:rsids>
    <w:rsidRoot w:val="00DA3243"/>
    <w:rsid w:val="00005A26"/>
    <w:rsid w:val="00274FE6"/>
    <w:rsid w:val="009326B0"/>
    <w:rsid w:val="00B80C5D"/>
    <w:rsid w:val="00CB3554"/>
    <w:rsid w:val="00CF5885"/>
    <w:rsid w:val="01C6398E"/>
    <w:rsid w:val="02303D31"/>
    <w:rsid w:val="02B61D83"/>
    <w:rsid w:val="05DC76C0"/>
    <w:rsid w:val="06C12E1D"/>
    <w:rsid w:val="08205965"/>
    <w:rsid w:val="0820659F"/>
    <w:rsid w:val="0A5C7A63"/>
    <w:rsid w:val="0C574F73"/>
    <w:rsid w:val="0C960FF3"/>
    <w:rsid w:val="0FF86A93"/>
    <w:rsid w:val="118C697C"/>
    <w:rsid w:val="11E707E9"/>
    <w:rsid w:val="135B130A"/>
    <w:rsid w:val="14984E73"/>
    <w:rsid w:val="153A4CB8"/>
    <w:rsid w:val="15A1634D"/>
    <w:rsid w:val="17986E4C"/>
    <w:rsid w:val="1B745EA4"/>
    <w:rsid w:val="1BC03E50"/>
    <w:rsid w:val="1C0A6EDA"/>
    <w:rsid w:val="1C7B14A7"/>
    <w:rsid w:val="1DFB7CD5"/>
    <w:rsid w:val="1F377BD7"/>
    <w:rsid w:val="20060D04"/>
    <w:rsid w:val="25535CDC"/>
    <w:rsid w:val="259B4A88"/>
    <w:rsid w:val="262D6296"/>
    <w:rsid w:val="28232B38"/>
    <w:rsid w:val="28915D4B"/>
    <w:rsid w:val="2BC42EBA"/>
    <w:rsid w:val="2BE80F19"/>
    <w:rsid w:val="2D094E21"/>
    <w:rsid w:val="2DC45EB3"/>
    <w:rsid w:val="328A38FB"/>
    <w:rsid w:val="37C908CB"/>
    <w:rsid w:val="3AB20060"/>
    <w:rsid w:val="3CB77B48"/>
    <w:rsid w:val="3D093051"/>
    <w:rsid w:val="3D2F3DB6"/>
    <w:rsid w:val="3DCB4E17"/>
    <w:rsid w:val="428A4A90"/>
    <w:rsid w:val="42EB5C06"/>
    <w:rsid w:val="44896D41"/>
    <w:rsid w:val="45560E05"/>
    <w:rsid w:val="49795D1C"/>
    <w:rsid w:val="4EC36AEA"/>
    <w:rsid w:val="50706473"/>
    <w:rsid w:val="51454A68"/>
    <w:rsid w:val="51583E38"/>
    <w:rsid w:val="543541C6"/>
    <w:rsid w:val="544D5FC7"/>
    <w:rsid w:val="544F3263"/>
    <w:rsid w:val="58280538"/>
    <w:rsid w:val="58A34738"/>
    <w:rsid w:val="59EA4D7A"/>
    <w:rsid w:val="5E104308"/>
    <w:rsid w:val="5EE202D4"/>
    <w:rsid w:val="600C67A6"/>
    <w:rsid w:val="60B26345"/>
    <w:rsid w:val="616E277C"/>
    <w:rsid w:val="62721782"/>
    <w:rsid w:val="65F35C6E"/>
    <w:rsid w:val="67B600EF"/>
    <w:rsid w:val="67ED25B2"/>
    <w:rsid w:val="6B1A6328"/>
    <w:rsid w:val="6B532367"/>
    <w:rsid w:val="6B642617"/>
    <w:rsid w:val="6B78242E"/>
    <w:rsid w:val="6C97002E"/>
    <w:rsid w:val="6CDC324F"/>
    <w:rsid w:val="6DA36F16"/>
    <w:rsid w:val="71CE6FA2"/>
    <w:rsid w:val="752A081C"/>
    <w:rsid w:val="77615D65"/>
    <w:rsid w:val="782D4038"/>
    <w:rsid w:val="78B6163A"/>
    <w:rsid w:val="79F40AE4"/>
    <w:rsid w:val="79F90F3A"/>
    <w:rsid w:val="7C4E332F"/>
    <w:rsid w:val="7E5E3EB4"/>
    <w:rsid w:val="7E9D53C9"/>
    <w:rsid w:val="7F2F10B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76" w:lineRule="exact"/>
      <w:jc w:val="left"/>
    </w:pPr>
    <w:rPr>
      <w:rFonts w:ascii="Times New Roman" w:hAnsi="Times New Roman" w:eastAsia="方正仿宋_GBK" w:cs="Times New Roman"/>
      <w:kern w:val="2"/>
      <w:sz w:val="32"/>
      <w:szCs w:val="24"/>
      <w:lang w:val="en-US" w:eastAsia="zh-CN" w:bidi="ar-SA"/>
    </w:rPr>
  </w:style>
  <w:style w:type="character" w:default="1" w:styleId="6">
    <w:name w:val="Default Paragraph Font"/>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unhideWhenUsed/>
    <w:qFormat/>
    <w:uiPriority w:val="99"/>
    <w:pPr>
      <w:tabs>
        <w:tab w:val="center" w:pos="4153"/>
        <w:tab w:val="right" w:pos="8306"/>
      </w:tabs>
      <w:snapToGrid w:val="0"/>
      <w:spacing w:line="240" w:lineRule="atLeast"/>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丰都县人事局</Company>
  <Pages>2</Pages>
  <Words>634</Words>
  <Characters>659</Characters>
  <Lines>3</Lines>
  <Paragraphs>1</Paragraphs>
  <TotalTime>48</TotalTime>
  <ScaleCrop>false</ScaleCrop>
  <LinksUpToDate>false</LinksUpToDate>
  <CharactersWithSpaces>670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2017-01-06T14:32:00Z</dcterms:created>
  <dc:creator>办公室</dc:creator>
  <cp:lastModifiedBy>fengdu</cp:lastModifiedBy>
  <cp:lastPrinted>2024-09-24T15:57:00Z</cp:lastPrinted>
  <dcterms:modified xsi:type="dcterms:W3CDTF">2025-09-10T15:11:52Z</dcterms:modified>
  <dc:subject>社保稽核</dc:subject>
  <dc:title>丰人社发〔2014〕101号---关于做好2014年社会保险稽核工作的通知</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KSOSaveFontToCloudKey">
    <vt:lpwstr>321637462_btnclosed</vt:lpwstr>
  </property>
  <property fmtid="{D5CDD505-2E9C-101B-9397-08002B2CF9AE}" pid="4" name="ICV">
    <vt:lpwstr>5E12C08208314B2385A14AEF1D6436F6</vt:lpwstr>
  </property>
  <property fmtid="{D5CDD505-2E9C-101B-9397-08002B2CF9AE}" pid="5" name="KSOTemplateDocerSaveRecord">
    <vt:lpwstr>eyJoZGlkIjoiZTZhMzE5ODNmNDk0YTFjMTU0NjliYWI4Zjc3MjhkYzUiLCJ1c2VySWQiOiIzOTMyNzMzMjYifQ==</vt:lpwstr>
  </property>
</Properties>
</file>