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ind w:left="0" w:leftChars="0" w:right="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中共丰都县委机构编制委员会办公室</w:t>
      </w:r>
    </w:p>
    <w:p>
      <w:pPr>
        <w:widowControl w:val="0"/>
        <w:wordWrap/>
        <w:adjustRightInd/>
        <w:snapToGrid/>
        <w:spacing w:line="560" w:lineRule="exact"/>
        <w:ind w:left="0" w:leftChars="0" w:right="0"/>
        <w:jc w:val="center"/>
        <w:textAlignment w:val="auto"/>
        <w:outlineLvl w:val="9"/>
        <w:rPr>
          <w:rFonts w:ascii="方正小标宋_GBK" w:eastAsia="方正小标宋_GBK"/>
          <w:sz w:val="44"/>
          <w:szCs w:val="44"/>
        </w:rPr>
      </w:pPr>
      <w:r>
        <w:rPr>
          <w:rFonts w:hint="eastAsia" w:ascii="方正小标宋_GBK" w:eastAsia="方正小标宋_GBK"/>
          <w:sz w:val="44"/>
          <w:szCs w:val="44"/>
        </w:rPr>
        <w:t>2023年度绩效自评工作报告</w:t>
      </w:r>
    </w:p>
    <w:p>
      <w:pPr>
        <w:widowControl w:val="0"/>
        <w:wordWrap/>
        <w:adjustRightInd/>
        <w:snapToGrid/>
        <w:spacing w:line="560" w:lineRule="exact"/>
        <w:ind w:left="0" w:leftChars="0" w:right="0"/>
        <w:textAlignment w:val="auto"/>
        <w:outlineLvl w:val="9"/>
      </w:pP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党中央关于“建立全面规范透明、标准科学、约束有力的预算制度，全面实施绩效管理”等工作要求，进一步规范和加强专项资金和项目管理，根据《关于开展2023年预算绩效自评工作的通知》（丰都财政发〔2024〕15号）文件要求，县委编办积极开展2023年预算绩效自评工作，形成自评报告如下。</w:t>
      </w:r>
    </w:p>
    <w:p>
      <w:pPr>
        <w:widowControl w:val="0"/>
        <w:wordWrap/>
        <w:adjustRightInd/>
        <w:snapToGrid/>
        <w:spacing w:line="560" w:lineRule="exact"/>
        <w:ind w:left="0" w:leftChars="0" w:right="0" w:firstLine="56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（一）项目背景、内容</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根据县人大批准的2023年度年初预算草案，县财政局2023年共实施项目4个，分别是：编委工作经费、事改工作经费、政务和公益域名经费、创新人才安家补助费。</w:t>
      </w:r>
    </w:p>
    <w:p>
      <w:pPr>
        <w:widowControl w:val="0"/>
        <w:wordWrap/>
        <w:adjustRightInd/>
        <w:snapToGrid/>
        <w:spacing w:line="560" w:lineRule="exact"/>
        <w:ind w:left="0" w:leftChars="0" w:right="0" w:firstLine="56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（二）项目资金情况</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截至2023年12月，县财政局4个项目预算资金23.94万元，实际到位23.94万元，全年执行23.94万元。在项目实施过程中，严格按照资金用途拨付，确保项目顺利开展。</w:t>
      </w:r>
    </w:p>
    <w:p>
      <w:pPr>
        <w:widowControl w:val="0"/>
        <w:wordWrap/>
        <w:adjustRightInd/>
        <w:snapToGrid/>
        <w:spacing w:line="560" w:lineRule="exact"/>
        <w:ind w:left="0" w:leftChars="0" w:right="0" w:firstLine="56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（三）绩效目标</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落实机构改革方案，完善机构编制的动态管理机制，坚持机构编制集中管理，深入推进机构编制实名制管理；贯彻落实中、市、县有关事业单位管理体制和机构改革的法规和政策，加快推进事业单位体制机制的改革，理顺事业单位职能职责；政务和公益郁域名经费是政务和公益域名等工作正常开展的重要保障；根据县委县政府安排，落实引进人才计划的要求。</w:t>
      </w:r>
    </w:p>
    <w:p>
      <w:pPr>
        <w:widowControl w:val="0"/>
        <w:wordWrap/>
        <w:adjustRightInd/>
        <w:snapToGrid/>
        <w:spacing w:line="560" w:lineRule="exact"/>
        <w:ind w:left="0" w:leftChars="0" w:right="0" w:firstLine="56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（四）部门（单位）职能职责</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委编办内设4个职能科室。主要职责是：负责贯彻执行中、市关于行政管理体制和机构改革、机构编制管理的方针、政策和法规；研究制定本县机构编制管理办法并组织实施；负责审核县委、县政府各部门和派出机构及县人大、县政协、群团机关、事业单位的内设机构、人员编制和领导职数；负责管理乡镇（街道）党政群机构设置、人员编制和领导职数；按照编制测算和配备标准，研究制定县乡机关编制配备调整方案。负责协调县级党政群各部门的职能配置与调整，协调县委各部门之间、县政府各部门之间、县委和县政府各部门之间以及县级各部门与乡镇（街道）之间的职责分工；协调事业单位职能配置与调整；负责审核机关、事业单位经费管理体制；负责统筹协调和实施全县行政审批制度改革工作；组织开展事业单位法人治理结构试点等工作。县事业单位登记管理局负责核准全县事业单位的设立登记、变更登记、注销登记，组织事业单位法人开展年度报告工作，依法开展事业单位法人公示信息抽查，依法保护与事业单位登记事项相关的合法权益。研拟和报批监督检查工作方案；开展机构编制执行情况的监督检查；受理机构编制信访案件；负责机构编制评估和目标考核工作。</w:t>
      </w:r>
    </w:p>
    <w:p>
      <w:pPr>
        <w:widowControl w:val="0"/>
        <w:wordWrap/>
        <w:adjustRightInd/>
        <w:snapToGrid/>
        <w:spacing w:line="560" w:lineRule="exact"/>
        <w:ind w:left="0" w:leftChars="0" w:right="0" w:firstLine="56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二、绩效情况分析</w:t>
      </w:r>
    </w:p>
    <w:p>
      <w:pPr>
        <w:widowControl w:val="0"/>
        <w:wordWrap/>
        <w:adjustRightInd/>
        <w:snapToGrid/>
        <w:spacing w:line="560" w:lineRule="exact"/>
        <w:ind w:left="0" w:leftChars="0" w:right="0" w:firstLine="56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（一）资金投入情况分析</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2023年财政下达项目资金为23.94万元，主要用于召开编委会前期的相关调研费用、事业单位改革的前期调研费用、网上域名的注册费用、引进创新人才安家补助经费支出。</w:t>
      </w:r>
    </w:p>
    <w:p>
      <w:pPr>
        <w:widowControl w:val="0"/>
        <w:wordWrap/>
        <w:adjustRightInd/>
        <w:snapToGrid/>
        <w:spacing w:line="560" w:lineRule="exact"/>
        <w:ind w:left="0" w:leftChars="0" w:right="0" w:firstLine="56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（二）资金管理情况分析</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截至2023年12月，县委编办项目资金执行23.94万元，预算执行率为100%，预算绩效管理覆盖率100%。</w:t>
      </w:r>
    </w:p>
    <w:p>
      <w:pPr>
        <w:widowControl w:val="0"/>
        <w:wordWrap/>
        <w:adjustRightInd/>
        <w:snapToGrid/>
        <w:spacing w:line="560" w:lineRule="exact"/>
        <w:ind w:left="0" w:leftChars="0" w:right="0" w:firstLine="56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（三）总体绩效目标完成情况分析</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严格落实机构改革方案，完善机构编制的动态管理机制，坚持机构编制集中管理，深入推进机构编制实名制管理，共召开编委会5次，研究议题38个。二是贯彻落实中、市有关事业单位管理体制和机构改革的法规和政策；加快推进事业单位体制机制的改革，理顺事业单位职能职责；涉及全县事业单位420家以上。三是政务和公益域名经费是政务和公益域名等工作正常开展的重要保障，该项目实施具有合理性、合法性、合规性、可操作性，可持续性，行政事业单位共完成域名注册220个。四是根据县委县政府安排，财政局、人社局引进人才计划的要求，进行补助，按照三年支付四万元的标准推进，本年度完成1人兑现。</w:t>
      </w:r>
    </w:p>
    <w:p>
      <w:pPr>
        <w:widowControl w:val="0"/>
        <w:wordWrap/>
        <w:adjustRightInd/>
        <w:snapToGrid/>
        <w:spacing w:line="560" w:lineRule="exact"/>
        <w:ind w:left="0" w:leftChars="0" w:right="0" w:firstLine="56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三、存在的问题和下一步改进措施</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通过自查，项目实施进度把控有待加强，项目管理制度有待进一步健全，资金到位率有待提高，接下来将严格把控项目实施进度，建立健全项目管理制度，科学合理拨付资金，避免资金使用混乱。</w:t>
      </w:r>
    </w:p>
    <w:p>
      <w:pPr>
        <w:widowControl w:val="0"/>
        <w:wordWrap/>
        <w:adjustRightInd/>
        <w:snapToGrid/>
        <w:spacing w:line="560" w:lineRule="exact"/>
        <w:ind w:left="0" w:leftChars="0" w:right="0" w:firstLine="56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四、绩效自评结果拟应用和公开情况</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对编委工作经费、事改工作经费、政务和公益域名经费、创新人才安家补助费等项目开展绩效自评工作，完成了年度绩效目标。同时，绩效自评结果将在丰都县人民政府网站上进行公开，绩效评价结果与下年度资金安排直接挂钩。</w:t>
      </w:r>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bookmarkStart w:id="0" w:name="_GoBack"/>
      <w:r>
        <w:rPr>
          <w:rFonts w:hint="eastAsia" w:ascii="方正黑体_GBK" w:hAnsi="方正黑体_GBK" w:eastAsia="方正黑体_GBK" w:cs="方正黑体_GBK"/>
          <w:sz w:val="32"/>
          <w:szCs w:val="32"/>
        </w:rPr>
        <w:t>五、其他需要说明的问题</w:t>
      </w:r>
      <w:bookmarkEnd w:id="0"/>
    </w:p>
    <w:p>
      <w:pPr>
        <w:widowControl w:val="0"/>
        <w:wordWrap/>
        <w:adjustRightInd/>
        <w:snapToGrid/>
        <w:spacing w:line="560" w:lineRule="exact"/>
        <w:ind w:left="0" w:leftChars="0" w:right="0" w:firstLine="56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70823"/>
    <w:rsid w:val="00012249"/>
    <w:rsid w:val="0012212C"/>
    <w:rsid w:val="003318D1"/>
    <w:rsid w:val="003365D6"/>
    <w:rsid w:val="00362B7C"/>
    <w:rsid w:val="00454A00"/>
    <w:rsid w:val="004E6A62"/>
    <w:rsid w:val="00517EDF"/>
    <w:rsid w:val="005D64DA"/>
    <w:rsid w:val="00603010"/>
    <w:rsid w:val="00670823"/>
    <w:rsid w:val="00691082"/>
    <w:rsid w:val="0069637E"/>
    <w:rsid w:val="006E4593"/>
    <w:rsid w:val="00745FD5"/>
    <w:rsid w:val="0076132D"/>
    <w:rsid w:val="00774CB5"/>
    <w:rsid w:val="008C11B4"/>
    <w:rsid w:val="00945B86"/>
    <w:rsid w:val="009B236C"/>
    <w:rsid w:val="009E063C"/>
    <w:rsid w:val="00A012B6"/>
    <w:rsid w:val="00A41FBB"/>
    <w:rsid w:val="00A43331"/>
    <w:rsid w:val="00C26F36"/>
    <w:rsid w:val="00D3757C"/>
    <w:rsid w:val="00D60135"/>
    <w:rsid w:val="00D9309D"/>
    <w:rsid w:val="00E5291D"/>
    <w:rsid w:val="00EC238D"/>
    <w:rsid w:val="00EC4FB9"/>
    <w:rsid w:val="00F72852"/>
    <w:rsid w:val="00FA591E"/>
    <w:rsid w:val="00FF0BED"/>
    <w:rsid w:val="1514367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unhideWhenUsed/>
    <w:qFormat/>
    <w:uiPriority w:val="9"/>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19"/>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0"/>
    <w:unhideWhenUsed/>
    <w:qFormat/>
    <w:uiPriority w:val="9"/>
    <w:pPr>
      <w:keepNext/>
      <w:keepLines/>
      <w:spacing w:before="240" w:after="64" w:line="320" w:lineRule="auto"/>
      <w:outlineLvl w:val="5"/>
    </w:pPr>
    <w:rPr>
      <w:rFonts w:ascii="Cambria" w:hAnsi="Cambria" w:eastAsia="宋体"/>
      <w:b/>
      <w:bCs/>
      <w:sz w:val="24"/>
      <w:szCs w:val="24"/>
    </w:rPr>
  </w:style>
  <w:style w:type="paragraph" w:styleId="8">
    <w:name w:val="heading 7"/>
    <w:basedOn w:val="1"/>
    <w:next w:val="1"/>
    <w:link w:val="21"/>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2"/>
    <w:unhideWhenUsed/>
    <w:qFormat/>
    <w:uiPriority w:val="9"/>
    <w:pPr>
      <w:keepNext/>
      <w:keepLines/>
      <w:spacing w:before="240" w:after="64" w:line="320" w:lineRule="auto"/>
      <w:outlineLvl w:val="7"/>
    </w:pPr>
    <w:rPr>
      <w:rFonts w:ascii="Cambria" w:hAnsi="Cambria" w:eastAsia="宋体"/>
      <w:sz w:val="24"/>
      <w:szCs w:val="24"/>
    </w:rPr>
  </w:style>
  <w:style w:type="character" w:default="1" w:styleId="12">
    <w:name w:val="Default Paragraph Font"/>
    <w:unhideWhenUsed/>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10">
    <w:name w:val="footer"/>
    <w:basedOn w:val="1"/>
    <w:link w:val="24"/>
    <w:unhideWhenUsed/>
    <w:uiPriority w:val="99"/>
    <w:pPr>
      <w:tabs>
        <w:tab w:val="center" w:pos="4153"/>
        <w:tab w:val="right" w:pos="8306"/>
      </w:tabs>
      <w:snapToGrid w:val="0"/>
      <w:jc w:val="left"/>
    </w:pPr>
    <w:rPr>
      <w:sz w:val="18"/>
      <w:szCs w:val="18"/>
    </w:rPr>
  </w:style>
  <w:style w:type="paragraph" w:styleId="11">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14">
    <w:name w:val="No Spacing"/>
    <w:qFormat/>
    <w:uiPriority w:val="1"/>
    <w:pPr>
      <w:widowControl w:val="0"/>
      <w:jc w:val="both"/>
    </w:pPr>
    <w:rPr>
      <w:rFonts w:ascii="Calibri" w:hAnsi="Calibri" w:eastAsia="宋体"/>
      <w:kern w:val="2"/>
      <w:sz w:val="21"/>
      <w:szCs w:val="22"/>
      <w:lang w:val="en-US" w:eastAsia="zh-CN" w:bidi="ar-SA"/>
    </w:rPr>
  </w:style>
  <w:style w:type="character" w:customStyle="1" w:styleId="15">
    <w:name w:val="标题 1 Char"/>
    <w:basedOn w:val="12"/>
    <w:link w:val="2"/>
    <w:uiPriority w:val="9"/>
    <w:rPr>
      <w:b/>
      <w:bCs/>
      <w:kern w:val="44"/>
      <w:sz w:val="44"/>
      <w:szCs w:val="44"/>
    </w:rPr>
  </w:style>
  <w:style w:type="character" w:customStyle="1" w:styleId="16">
    <w:name w:val="标题 2 Char"/>
    <w:basedOn w:val="12"/>
    <w:link w:val="3"/>
    <w:uiPriority w:val="9"/>
    <w:rPr>
      <w:rFonts w:ascii="Cambria" w:hAnsi="Cambria" w:eastAsia="宋体"/>
      <w:b/>
      <w:bCs/>
      <w:sz w:val="32"/>
      <w:szCs w:val="32"/>
    </w:rPr>
  </w:style>
  <w:style w:type="character" w:customStyle="1" w:styleId="17">
    <w:name w:val="标题 3 Char"/>
    <w:basedOn w:val="12"/>
    <w:link w:val="4"/>
    <w:uiPriority w:val="9"/>
    <w:rPr>
      <w:b/>
      <w:bCs/>
      <w:sz w:val="32"/>
      <w:szCs w:val="32"/>
    </w:rPr>
  </w:style>
  <w:style w:type="character" w:customStyle="1" w:styleId="18">
    <w:name w:val="标题 4 Char"/>
    <w:basedOn w:val="12"/>
    <w:link w:val="5"/>
    <w:uiPriority w:val="9"/>
    <w:rPr>
      <w:rFonts w:ascii="Cambria" w:hAnsi="Cambria" w:eastAsia="宋体"/>
      <w:b/>
      <w:bCs/>
      <w:sz w:val="28"/>
      <w:szCs w:val="28"/>
    </w:rPr>
  </w:style>
  <w:style w:type="character" w:customStyle="1" w:styleId="19">
    <w:name w:val="标题 5 Char"/>
    <w:basedOn w:val="12"/>
    <w:link w:val="6"/>
    <w:uiPriority w:val="9"/>
    <w:rPr>
      <w:b/>
      <w:bCs/>
      <w:sz w:val="28"/>
      <w:szCs w:val="28"/>
    </w:rPr>
  </w:style>
  <w:style w:type="character" w:customStyle="1" w:styleId="20">
    <w:name w:val="标题 6 Char"/>
    <w:basedOn w:val="12"/>
    <w:link w:val="7"/>
    <w:uiPriority w:val="9"/>
    <w:rPr>
      <w:rFonts w:ascii="Cambria" w:hAnsi="Cambria" w:eastAsia="宋体"/>
      <w:b/>
      <w:bCs/>
      <w:sz w:val="24"/>
      <w:szCs w:val="24"/>
    </w:rPr>
  </w:style>
  <w:style w:type="character" w:customStyle="1" w:styleId="21">
    <w:name w:val="标题 7 Char"/>
    <w:basedOn w:val="12"/>
    <w:link w:val="8"/>
    <w:uiPriority w:val="9"/>
    <w:rPr>
      <w:b/>
      <w:bCs/>
      <w:sz w:val="24"/>
      <w:szCs w:val="24"/>
    </w:rPr>
  </w:style>
  <w:style w:type="character" w:customStyle="1" w:styleId="22">
    <w:name w:val="标题 8 Char"/>
    <w:basedOn w:val="12"/>
    <w:link w:val="9"/>
    <w:uiPriority w:val="9"/>
    <w:rPr>
      <w:rFonts w:ascii="Cambria" w:hAnsi="Cambria" w:eastAsia="宋体"/>
      <w:sz w:val="24"/>
      <w:szCs w:val="24"/>
    </w:rPr>
  </w:style>
  <w:style w:type="character" w:customStyle="1" w:styleId="23">
    <w:name w:val="页眉 Char"/>
    <w:basedOn w:val="12"/>
    <w:link w:val="11"/>
    <w:uiPriority w:val="99"/>
    <w:rPr>
      <w:sz w:val="18"/>
      <w:szCs w:val="18"/>
    </w:rPr>
  </w:style>
  <w:style w:type="character" w:customStyle="1" w:styleId="24">
    <w:name w:val="页脚 Char"/>
    <w:basedOn w:val="12"/>
    <w:link w:val="10"/>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259</Words>
  <Characters>1481</Characters>
  <Lines>12</Lines>
  <Paragraphs>3</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2024-07-23T02:36:00Z</dcterms:created>
  <dc:creator>黎燕</dc:creator>
  <cp:lastModifiedBy>Administrator</cp:lastModifiedBy>
  <cp:lastPrinted>2024-07-24T09:52:00Z</cp:lastPrinted>
  <dcterms:modified xsi:type="dcterms:W3CDTF">2024-09-26T07:27:43Z</dcterms:modified>
  <dc:title>中共丰都县委机构编制委员会办公室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