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07B25">
      <w:pPr>
        <w:spacing w:line="570" w:lineRule="exact"/>
        <w:jc w:val="center"/>
        <w:rPr>
          <w:rFonts w:ascii="Times New Roman" w:hAnsi="Times New Roman" w:eastAsia="方正仿宋_GBK" w:cs="Times New Roman"/>
          <w:szCs w:val="32"/>
        </w:rPr>
      </w:pPr>
    </w:p>
    <w:p w14:paraId="6A9B5095">
      <w:pPr>
        <w:spacing w:line="900" w:lineRule="exact"/>
        <w:jc w:val="center"/>
        <w:rPr>
          <w:rFonts w:ascii="方正小标宋_GBK" w:eastAsia="方正小标宋_GBK"/>
          <w:color w:val="FF0000"/>
          <w:w w:val="75"/>
          <w:sz w:val="84"/>
          <w:szCs w:val="32"/>
          <w:u w:val="single"/>
        </w:rPr>
      </w:pPr>
      <w:r>
        <w:rPr>
          <w:rFonts w:hint="eastAsia" w:ascii="方正小标宋_GBK" w:eastAsia="方正小标宋_GBK"/>
          <w:color w:val="FF0000"/>
          <w:w w:val="75"/>
          <w:sz w:val="84"/>
          <w:szCs w:val="32"/>
          <w:u w:val="single"/>
        </w:rPr>
        <w:t>丰都县人民政府办公室电子公文</w:t>
      </w:r>
    </w:p>
    <w:p w14:paraId="59F78F28">
      <w:pPr>
        <w:spacing w:line="600" w:lineRule="exact"/>
        <w:rPr>
          <w:rFonts w:ascii="方正仿宋_GBK" w:eastAsia="方正仿宋_GBK"/>
          <w:spacing w:val="-6"/>
          <w:szCs w:val="32"/>
        </w:rPr>
      </w:pPr>
    </w:p>
    <w:p w14:paraId="426B11E4">
      <w:pPr>
        <w:spacing w:line="600" w:lineRule="exact"/>
        <w:rPr>
          <w:rFonts w:ascii="方正仿宋_GBK" w:eastAsia="方正仿宋_GBK"/>
          <w:spacing w:val="-6"/>
          <w:szCs w:val="32"/>
        </w:rPr>
      </w:pPr>
      <w:r>
        <w:rPr>
          <w:rFonts w:hint="eastAsia" w:ascii="方正仿宋_GBK" w:eastAsia="方正仿宋_GBK"/>
          <w:spacing w:val="-6"/>
          <w:szCs w:val="32"/>
        </w:rPr>
        <w:t xml:space="preserve">                                             电子公文专用章</w:t>
      </w:r>
    </w:p>
    <w:p w14:paraId="7C9919C6">
      <w:pPr>
        <w:spacing w:line="600" w:lineRule="exact"/>
        <w:rPr>
          <w:rFonts w:ascii="方正仿宋_GBK" w:eastAsia="方正仿宋_GBK"/>
          <w:spacing w:val="-6"/>
          <w:szCs w:val="32"/>
        </w:rPr>
      </w:pPr>
      <w:r>
        <w:rPr>
          <w:rFonts w:hint="eastAsia" w:ascii="方正仿宋_GBK" w:eastAsia="方正仿宋_GBK"/>
          <w:szCs w:val="32"/>
        </w:rPr>
        <w:t>丰都府办发</w:t>
      </w:r>
      <w:r>
        <w:rPr>
          <w:rFonts w:hint="eastAsia" w:ascii="方正楷体_GBK" w:eastAsia="方正楷体_GBK"/>
          <w:szCs w:val="32"/>
        </w:rPr>
        <w:t>〔2022〕17</w:t>
      </w:r>
      <w:r>
        <w:rPr>
          <w:rFonts w:hint="eastAsia" w:eastAsia="方正仿宋_GBK"/>
          <w:szCs w:val="32"/>
        </w:rPr>
        <w:t>号</w:t>
      </w:r>
      <w:r>
        <w:rPr>
          <w:rFonts w:hint="eastAsia" w:ascii="方正仿宋_GBK" w:eastAsia="方正仿宋_GBK"/>
          <w:spacing w:val="-6"/>
          <w:szCs w:val="32"/>
        </w:rPr>
        <w:t xml:space="preserve">                     核收：</w:t>
      </w:r>
    </w:p>
    <w:p w14:paraId="20E7EDF3">
      <w:pPr>
        <w:spacing w:line="570" w:lineRule="exact"/>
        <w:rPr>
          <w:rFonts w:ascii="Times New Roman" w:hAnsi="Times New Roman" w:eastAsia="方正小标宋_GBK" w:cs="Times New Roman"/>
          <w:color w:val="000000"/>
          <w:sz w:val="44"/>
          <w:szCs w:val="44"/>
        </w:rPr>
      </w:pPr>
    </w:p>
    <w:p w14:paraId="66BCAA23">
      <w:pPr>
        <w:spacing w:line="570" w:lineRule="exact"/>
        <w:jc w:val="center"/>
        <w:rPr>
          <w:rFonts w:ascii="Times New Roman" w:hAnsi="Times New Roman" w:eastAsia="方正小标宋_GBK" w:cs="Times New Roman"/>
          <w:color w:val="000000"/>
          <w:sz w:val="44"/>
          <w:szCs w:val="44"/>
        </w:rPr>
      </w:pPr>
    </w:p>
    <w:p w14:paraId="03B90F3F">
      <w:pPr>
        <w:spacing w:line="560" w:lineRule="exact"/>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丰都县人民政府办公室</w:t>
      </w:r>
    </w:p>
    <w:p w14:paraId="13226668">
      <w:pPr>
        <w:spacing w:line="560" w:lineRule="exact"/>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关于印发《</w:t>
      </w:r>
      <w:r>
        <w:rPr>
          <w:rFonts w:ascii="Times New Roman" w:hAnsi="Times New Roman" w:eastAsia="方正小标宋_GBK" w:cs="Times New Roman"/>
          <w:kern w:val="0"/>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方正小标宋_GBK" w:cs="Times New Roman"/>
          <w:kern w:val="0"/>
          <w:sz w:val="44"/>
          <w:szCs w:val="44"/>
        </w:rPr>
        <w:instrText xml:space="preserve">ADDIN CNKISM.UserStyle</w:instrText>
      </w:r>
      <w:r>
        <w:rPr>
          <w:rFonts w:ascii="Times New Roman" w:hAnsi="Times New Roman" w:eastAsia="方正小标宋_GBK" w:cs="Times New Roman"/>
          <w:kern w:val="0"/>
          <w:sz w:val="44"/>
          <w:szCs w:val="44"/>
        </w:rPr>
        <w:fldChar w:fldCharType="end"/>
      </w:r>
      <w:r>
        <w:rPr>
          <w:rFonts w:ascii="Times New Roman" w:hAnsi="Times New Roman" w:eastAsia="方正小标宋_GBK" w:cs="Times New Roman"/>
          <w:kern w:val="0"/>
          <w:sz w:val="44"/>
          <w:szCs w:val="44"/>
        </w:rPr>
        <w:t>丰都县市场监管“十四五”发展规划</w:t>
      </w:r>
      <w:r>
        <w:rPr>
          <w:rFonts w:ascii="Times New Roman" w:hAnsi="Times New Roman" w:eastAsia="方正小标宋_GBK" w:cs="Times New Roman"/>
          <w:color w:val="000000"/>
          <w:sz w:val="44"/>
          <w:szCs w:val="44"/>
        </w:rPr>
        <w:t>（2021-2025年）》的通知</w:t>
      </w:r>
    </w:p>
    <w:p w14:paraId="667CB4DB">
      <w:pPr>
        <w:spacing w:line="560" w:lineRule="exact"/>
        <w:rPr>
          <w:rFonts w:ascii="Times New Roman" w:hAnsi="Times New Roman" w:eastAsia="方正楷体_GBK" w:cs="Times New Roman"/>
          <w:color w:val="000000"/>
        </w:rPr>
      </w:pPr>
    </w:p>
    <w:p w14:paraId="03CE62B1">
      <w:pPr>
        <w:spacing w:line="540" w:lineRule="exact"/>
        <w:rPr>
          <w:rFonts w:ascii="Times New Roman" w:hAnsi="Times New Roman" w:eastAsia="方正仿宋_GBK" w:cs="Times New Roman"/>
          <w:color w:val="000000"/>
        </w:rPr>
      </w:pPr>
      <w:r>
        <w:rPr>
          <w:rFonts w:ascii="Times New Roman" w:hAnsi="Times New Roman" w:eastAsia="方正仿宋_GBK" w:cs="Times New Roman"/>
          <w:color w:val="000000"/>
        </w:rPr>
        <w:t>各乡镇人民政府、街道办事处，县级各部门，各企事业单位：</w:t>
      </w:r>
    </w:p>
    <w:p w14:paraId="5EC4D816">
      <w:pPr>
        <w:spacing w:line="540" w:lineRule="exact"/>
        <w:ind w:firstLine="632" w:firstLineChars="200"/>
        <w:jc w:val="left"/>
        <w:rPr>
          <w:rFonts w:ascii="Times New Roman" w:hAnsi="Times New Roman" w:eastAsia="方正仿宋_GBK" w:cs="Times New Roman"/>
          <w:bCs/>
          <w:color w:val="000000"/>
          <w:szCs w:val="32"/>
        </w:rPr>
      </w:pPr>
      <w:r>
        <w:rPr>
          <w:rFonts w:ascii="Times New Roman" w:hAnsi="Times New Roman" w:eastAsia="方正仿宋_GBK" w:cs="Times New Roman"/>
          <w:bCs/>
          <w:color w:val="000000"/>
          <w:szCs w:val="32"/>
        </w:rPr>
        <w:t>《</w:t>
      </w:r>
      <w:r>
        <w:rPr>
          <w:rFonts w:ascii="Times New Roman" w:hAnsi="Times New Roman" w:eastAsia="方正仿宋_GBK" w:cs="Times New Roman"/>
          <w:bCs/>
          <w:color w:val="000000"/>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方正仿宋_GBK" w:cs="Times New Roman"/>
          <w:bCs/>
          <w:color w:val="000000"/>
          <w:szCs w:val="32"/>
        </w:rPr>
        <w:instrText xml:space="preserve">ADDIN CNKISM.UserStyle</w:instrText>
      </w:r>
      <w:r>
        <w:rPr>
          <w:rFonts w:ascii="Times New Roman" w:hAnsi="Times New Roman" w:eastAsia="方正仿宋_GBK" w:cs="Times New Roman"/>
          <w:bCs/>
          <w:color w:val="000000"/>
          <w:szCs w:val="32"/>
        </w:rPr>
        <w:fldChar w:fldCharType="end"/>
      </w:r>
      <w:r>
        <w:rPr>
          <w:rFonts w:ascii="Times New Roman" w:hAnsi="Times New Roman" w:eastAsia="方正仿宋_GBK" w:cs="Times New Roman"/>
          <w:bCs/>
          <w:color w:val="000000"/>
          <w:szCs w:val="32"/>
        </w:rPr>
        <w:t>丰都县市场监管“十四五”发展规划（2021-2025年）》已经中共丰都县委十五届常委会第22次会议、县第十九届人民政府第14次常务会议审议通过，现印发给你们，请认真贯彻执行。</w:t>
      </w:r>
    </w:p>
    <w:p w14:paraId="2835336C">
      <w:pPr>
        <w:pStyle w:val="8"/>
        <w:spacing w:line="320" w:lineRule="exact"/>
        <w:ind w:firstLine="0"/>
      </w:pPr>
    </w:p>
    <w:p w14:paraId="5FB3C2C1">
      <w:pPr>
        <w:spacing w:line="540" w:lineRule="exact"/>
        <w:ind w:firstLine="632" w:firstLineChars="200"/>
        <w:jc w:val="left"/>
        <w:rPr>
          <w:rFonts w:ascii="Times New Roman" w:hAnsi="Times New Roman" w:eastAsia="方正仿宋_GBK" w:cs="Times New Roman"/>
          <w:bCs/>
          <w:color w:val="000000"/>
          <w:szCs w:val="32"/>
        </w:rPr>
      </w:pPr>
      <w:r>
        <w:rPr>
          <w:rFonts w:ascii="Times New Roman" w:hAnsi="Times New Roman" w:eastAsia="方正仿宋_GBK" w:cs="Times New Roman"/>
          <w:bCs/>
          <w:color w:val="000000"/>
          <w:szCs w:val="32"/>
        </w:rPr>
        <w:t>附件：</w:t>
      </w:r>
      <w:r>
        <w:rPr>
          <w:rFonts w:ascii="Times New Roman" w:hAnsi="Times New Roman" w:eastAsia="方正仿宋_GBK" w:cs="Times New Roman"/>
          <w:bCs/>
          <w:color w:val="000000"/>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方正仿宋_GBK" w:cs="Times New Roman"/>
          <w:bCs/>
          <w:color w:val="000000"/>
          <w:szCs w:val="32"/>
        </w:rPr>
        <w:instrText xml:space="preserve">ADDIN CNKISM.UserStyle</w:instrText>
      </w:r>
      <w:r>
        <w:rPr>
          <w:rFonts w:ascii="Times New Roman" w:hAnsi="Times New Roman" w:eastAsia="方正仿宋_GBK" w:cs="Times New Roman"/>
          <w:bCs/>
          <w:color w:val="000000"/>
          <w:szCs w:val="32"/>
        </w:rPr>
        <w:fldChar w:fldCharType="end"/>
      </w:r>
      <w:r>
        <w:rPr>
          <w:rFonts w:ascii="Times New Roman" w:hAnsi="Times New Roman" w:eastAsia="方正仿宋_GBK" w:cs="Times New Roman"/>
          <w:bCs/>
          <w:color w:val="000000"/>
          <w:szCs w:val="32"/>
        </w:rPr>
        <w:t>丰都县市场监管“十四五”发展规划（2021-2025年）</w:t>
      </w:r>
    </w:p>
    <w:p w14:paraId="1F41073D">
      <w:pPr>
        <w:spacing w:line="240" w:lineRule="exact"/>
        <w:rPr>
          <w:rFonts w:ascii="Times New Roman" w:hAnsi="Times New Roman" w:cs="Times New Roman"/>
          <w:color w:val="000000"/>
        </w:rPr>
      </w:pPr>
    </w:p>
    <w:p w14:paraId="723667BD">
      <w:pPr>
        <w:spacing w:line="240" w:lineRule="exact"/>
        <w:rPr>
          <w:rFonts w:ascii="Times New Roman" w:hAnsi="Times New Roman" w:cs="Times New Roman"/>
          <w:color w:val="000000"/>
        </w:rPr>
      </w:pPr>
    </w:p>
    <w:p w14:paraId="12491FB6">
      <w:pPr>
        <w:spacing w:line="240" w:lineRule="exact"/>
        <w:rPr>
          <w:rFonts w:ascii="Times New Roman" w:hAnsi="Times New Roman" w:cs="Times New Roman"/>
          <w:color w:val="000000"/>
        </w:rPr>
      </w:pPr>
    </w:p>
    <w:p w14:paraId="7D42C9E5">
      <w:pPr>
        <w:spacing w:line="480" w:lineRule="exact"/>
        <w:ind w:firstLine="3476" w:firstLineChars="1100"/>
        <w:rPr>
          <w:rFonts w:ascii="Times New Roman" w:hAnsi="Times New Roman" w:eastAsia="方正仿宋_GBK" w:cs="方正仿宋_GBK"/>
          <w:color w:val="000000"/>
        </w:rPr>
      </w:pPr>
      <w:r>
        <w:rPr>
          <w:rFonts w:hint="eastAsia" w:ascii="Times New Roman" w:hAnsi="Times New Roman" w:eastAsia="方正仿宋_GBK" w:cs="方正仿宋_GBK"/>
          <w:color w:val="000000"/>
        </w:rPr>
        <w:t>丰都县人民政府办公室</w:t>
      </w:r>
    </w:p>
    <w:p w14:paraId="24315B83">
      <w:pPr>
        <w:spacing w:line="480" w:lineRule="exact"/>
        <w:ind w:firstLine="3792" w:firstLineChars="1200"/>
        <w:rPr>
          <w:rFonts w:ascii="Times New Roman" w:hAnsi="Times New Roman" w:cs="Times New Roman"/>
          <w:color w:val="000000"/>
        </w:rPr>
      </w:pPr>
      <w:r>
        <w:rPr>
          <w:rFonts w:ascii="Times New Roman" w:hAnsi="Times New Roman" w:eastAsia="方正仿宋_GBK" w:cs="Times New Roman"/>
          <w:color w:val="000000"/>
        </w:rPr>
        <w:t>2022年8月10日</w:t>
      </w:r>
    </w:p>
    <w:p w14:paraId="0991D785">
      <w:pPr>
        <w:spacing w:line="480" w:lineRule="exact"/>
        <w:rPr>
          <w:rFonts w:ascii="Times New Roman" w:hAnsi="Times New Roman" w:cs="Times New Roman"/>
          <w:color w:val="000000"/>
        </w:rPr>
      </w:pPr>
    </w:p>
    <w:p w14:paraId="580709F9">
      <w:pPr>
        <w:pStyle w:val="2"/>
        <w:sectPr>
          <w:footerReference r:id="rId3" w:type="default"/>
          <w:footerReference r:id="rId4" w:type="even"/>
          <w:pgSz w:w="11906" w:h="16838"/>
          <w:pgMar w:top="2098" w:right="1531" w:bottom="1984" w:left="1531" w:header="851" w:footer="1474" w:gutter="0"/>
          <w:cols w:space="0" w:num="1"/>
          <w:docGrid w:type="linesAndChars" w:linePitch="579" w:charSpace="-849"/>
        </w:sectPr>
      </w:pPr>
      <w:r>
        <w:rPr>
          <w:rFonts w:hint="eastAsia" w:ascii="Times New Roman" w:hAnsi="Times New Roman" w:cs="Times New Roman"/>
          <w:color w:val="000000"/>
        </w:rPr>
        <w:t>（此件公开发布）</w:t>
      </w:r>
    </w:p>
    <w:p w14:paraId="4C79A438">
      <w:pPr>
        <w:pStyle w:val="8"/>
        <w:ind w:firstLine="0"/>
        <w:rPr>
          <w:rFonts w:eastAsia="方正黑体_GBK"/>
        </w:rPr>
      </w:pPr>
      <w:r>
        <w:rPr>
          <w:rFonts w:eastAsia="方正黑体_GBK"/>
        </w:rPr>
        <w:t>附件</w:t>
      </w:r>
    </w:p>
    <w:p w14:paraId="775578BF">
      <w:pPr>
        <w:rPr>
          <w:rFonts w:ascii="Times New Roman" w:hAnsi="Times New Roman" w:eastAsia="方正小标宋_GBK" w:cs="Times New Roman"/>
          <w:kern w:val="0"/>
          <w:sz w:val="44"/>
          <w:szCs w:val="44"/>
        </w:rPr>
      </w:pPr>
    </w:p>
    <w:p w14:paraId="6768146B">
      <w:pPr>
        <w:pStyle w:val="8"/>
        <w:rPr>
          <w:rFonts w:eastAsia="方正小标宋_GBK"/>
          <w:kern w:val="0"/>
          <w:sz w:val="44"/>
          <w:szCs w:val="44"/>
        </w:rPr>
      </w:pPr>
    </w:p>
    <w:p w14:paraId="53C610A6">
      <w:pPr>
        <w:rPr>
          <w:rFonts w:ascii="Times New Roman" w:hAnsi="Times New Roman" w:eastAsia="方正小标宋_GBK" w:cs="Times New Roman"/>
          <w:kern w:val="0"/>
          <w:sz w:val="44"/>
          <w:szCs w:val="44"/>
        </w:rPr>
      </w:pPr>
    </w:p>
    <w:p w14:paraId="2F9C2843">
      <w:pPr>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方正小标宋_GBK" w:cs="Times New Roman"/>
          <w:kern w:val="0"/>
          <w:sz w:val="44"/>
          <w:szCs w:val="44"/>
        </w:rPr>
        <w:instrText xml:space="preserve">ADDIN CNKISM.UserStyle</w:instrText>
      </w:r>
      <w:r>
        <w:rPr>
          <w:rFonts w:ascii="Times New Roman" w:hAnsi="Times New Roman" w:eastAsia="方正小标宋_GBK" w:cs="Times New Roman"/>
          <w:kern w:val="0"/>
          <w:sz w:val="44"/>
          <w:szCs w:val="44"/>
        </w:rPr>
        <w:fldChar w:fldCharType="end"/>
      </w:r>
      <w:bookmarkStart w:id="0" w:name="_Toc69885720"/>
      <w:bookmarkStart w:id="1" w:name="_Toc70177801"/>
      <w:bookmarkStart w:id="2" w:name="_Toc69885614"/>
      <w:bookmarkStart w:id="3" w:name="_Toc70177910"/>
      <w:r>
        <w:rPr>
          <w:rFonts w:ascii="Times New Roman" w:hAnsi="Times New Roman" w:eastAsia="方正小标宋_GBK" w:cs="Times New Roman"/>
          <w:kern w:val="0"/>
          <w:sz w:val="44"/>
          <w:szCs w:val="44"/>
        </w:rPr>
        <w:t>丰都县市场监管“十四五”发展规划</w:t>
      </w:r>
      <w:bookmarkEnd w:id="0"/>
      <w:bookmarkEnd w:id="1"/>
      <w:bookmarkEnd w:id="2"/>
      <w:bookmarkEnd w:id="3"/>
    </w:p>
    <w:p w14:paraId="430ECC6F">
      <w:pPr>
        <w:jc w:val="center"/>
        <w:rPr>
          <w:rFonts w:ascii="Times New Roman" w:hAnsi="Times New Roman" w:cs="Times New Roman"/>
          <w:kern w:val="0"/>
        </w:rPr>
      </w:pPr>
      <w:r>
        <w:rPr>
          <w:rFonts w:ascii="Times New Roman" w:hAnsi="Times New Roman" w:eastAsia="方正小标宋_GBK" w:cs="Times New Roman"/>
          <w:sz w:val="44"/>
          <w:szCs w:val="44"/>
        </w:rPr>
        <w:t>（2021-2025年）</w:t>
      </w:r>
    </w:p>
    <w:p w14:paraId="2E831F55">
      <w:pPr>
        <w:rPr>
          <w:rFonts w:ascii="Times New Roman" w:hAnsi="Times New Roman" w:cs="Times New Roman"/>
          <w:kern w:val="0"/>
        </w:rPr>
      </w:pPr>
    </w:p>
    <w:p w14:paraId="0AFBD2E7">
      <w:pPr>
        <w:rPr>
          <w:rFonts w:ascii="Times New Roman" w:hAnsi="Times New Roman" w:cs="Times New Roman"/>
          <w:kern w:val="0"/>
        </w:rPr>
      </w:pPr>
    </w:p>
    <w:p w14:paraId="3BDEEB78">
      <w:pPr>
        <w:rPr>
          <w:rFonts w:ascii="Times New Roman" w:hAnsi="Times New Roman" w:cs="Times New Roman"/>
          <w:kern w:val="0"/>
        </w:rPr>
      </w:pPr>
    </w:p>
    <w:p w14:paraId="7B22AF37">
      <w:pPr>
        <w:rPr>
          <w:rFonts w:ascii="Times New Roman" w:hAnsi="Times New Roman" w:cs="Times New Roman"/>
          <w:kern w:val="0"/>
        </w:rPr>
      </w:pPr>
    </w:p>
    <w:p w14:paraId="270174DE">
      <w:pPr>
        <w:rPr>
          <w:rFonts w:ascii="Times New Roman" w:hAnsi="Times New Roman" w:cs="Times New Roman"/>
          <w:kern w:val="0"/>
        </w:rPr>
      </w:pPr>
    </w:p>
    <w:p w14:paraId="400796D2">
      <w:pPr>
        <w:rPr>
          <w:rFonts w:ascii="Times New Roman" w:hAnsi="Times New Roman" w:cs="Times New Roman"/>
          <w:kern w:val="0"/>
        </w:rPr>
      </w:pPr>
    </w:p>
    <w:p w14:paraId="65B5A01C">
      <w:pPr>
        <w:rPr>
          <w:rFonts w:ascii="Times New Roman" w:hAnsi="Times New Roman" w:cs="Times New Roman"/>
          <w:kern w:val="0"/>
        </w:rPr>
      </w:pPr>
    </w:p>
    <w:p w14:paraId="2BE4A8C6">
      <w:pPr>
        <w:rPr>
          <w:rFonts w:ascii="Times New Roman" w:hAnsi="Times New Roman" w:cs="Times New Roman"/>
          <w:kern w:val="0"/>
        </w:rPr>
      </w:pPr>
    </w:p>
    <w:p w14:paraId="4DA4A55C">
      <w:pPr>
        <w:spacing w:line="600" w:lineRule="exact"/>
        <w:jc w:val="center"/>
        <w:rPr>
          <w:rFonts w:ascii="Times New Roman" w:hAnsi="Times New Roman" w:eastAsia="方正小标宋_GBK" w:cs="Times New Roman"/>
          <w:sz w:val="44"/>
          <w:szCs w:val="44"/>
        </w:rPr>
      </w:pPr>
    </w:p>
    <w:p w14:paraId="08CB8CAA">
      <w:pPr>
        <w:spacing w:line="600" w:lineRule="exact"/>
        <w:jc w:val="center"/>
        <w:rPr>
          <w:rFonts w:ascii="Times New Roman" w:hAnsi="Times New Roman" w:eastAsia="方正小标宋_GBK" w:cs="Times New Roman"/>
          <w:sz w:val="44"/>
          <w:szCs w:val="44"/>
        </w:rPr>
      </w:pPr>
    </w:p>
    <w:p w14:paraId="46938989">
      <w:pPr>
        <w:spacing w:line="600" w:lineRule="exact"/>
        <w:jc w:val="center"/>
        <w:rPr>
          <w:rFonts w:ascii="Times New Roman" w:hAnsi="Times New Roman" w:eastAsia="方正小标宋_GBK" w:cs="Times New Roman"/>
          <w:sz w:val="44"/>
          <w:szCs w:val="44"/>
        </w:rPr>
      </w:pPr>
    </w:p>
    <w:p w14:paraId="0325CFF0">
      <w:pPr>
        <w:spacing w:line="600" w:lineRule="exact"/>
        <w:jc w:val="center"/>
        <w:rPr>
          <w:rFonts w:ascii="Times New Roman" w:hAnsi="Times New Roman" w:eastAsia="方正小标宋_GBK" w:cs="Times New Roman"/>
          <w:sz w:val="44"/>
          <w:szCs w:val="44"/>
        </w:rPr>
      </w:pPr>
    </w:p>
    <w:p w14:paraId="03D07764">
      <w:pPr>
        <w:spacing w:line="600" w:lineRule="exact"/>
        <w:jc w:val="center"/>
        <w:rPr>
          <w:rFonts w:ascii="Times New Roman" w:hAnsi="Times New Roman" w:eastAsia="方正小标宋_GBK" w:cs="Times New Roman"/>
          <w:sz w:val="44"/>
          <w:szCs w:val="44"/>
        </w:rPr>
      </w:pPr>
    </w:p>
    <w:p w14:paraId="03513BEE">
      <w:pPr>
        <w:spacing w:line="600" w:lineRule="exact"/>
        <w:jc w:val="center"/>
        <w:rPr>
          <w:rFonts w:ascii="Times New Roman" w:hAnsi="Times New Roman" w:eastAsia="方正小标宋_GBK" w:cs="Times New Roman"/>
          <w:szCs w:val="32"/>
        </w:rPr>
      </w:pPr>
      <w:r>
        <w:rPr>
          <w:rFonts w:ascii="Times New Roman" w:hAnsi="Times New Roman" w:eastAsia="方正小标宋_GBK" w:cs="Times New Roman"/>
          <w:sz w:val="44"/>
          <w:szCs w:val="44"/>
        </w:rPr>
        <w:t>目 录</w:t>
      </w:r>
    </w:p>
    <w:sdt>
      <w:sdtPr>
        <w:rPr>
          <w:rFonts w:ascii="宋体" w:hAnsi="宋体" w:eastAsia="宋体" w:cs="Times New Roman"/>
          <w:kern w:val="0"/>
          <w:sz w:val="21"/>
          <w:szCs w:val="20"/>
        </w:rPr>
        <w:id w:val="147455443"/>
        <w:docPartObj>
          <w:docPartGallery w:val="Table of Contents"/>
          <w:docPartUnique/>
        </w:docPartObj>
      </w:sdtPr>
      <w:sdtEndPr>
        <w:rPr>
          <w:rFonts w:ascii="Times New Roman" w:hAnsi="Times New Roman" w:eastAsia="宋体" w:cs="Times New Roman"/>
          <w:kern w:val="0"/>
          <w:sz w:val="20"/>
          <w:szCs w:val="20"/>
        </w:rPr>
      </w:sdtEndPr>
      <w:sdtContent>
        <w:p w14:paraId="47957DC2">
          <w:pPr>
            <w:jc w:val="center"/>
          </w:pPr>
        </w:p>
        <w:p w14:paraId="758AA1BC">
          <w:pPr>
            <w:pStyle w:val="43"/>
            <w:tabs>
              <w:tab w:val="right" w:leader="dot" w:pos="8844"/>
            </w:tabs>
            <w:spacing w:line="620" w:lineRule="exact"/>
            <w:rPr>
              <w:rFonts w:ascii="Times New Roman" w:hAnsi="Times New Roman"/>
              <w:sz w:val="32"/>
              <w:szCs w:val="32"/>
            </w:rPr>
          </w:pPr>
          <w:r>
            <w:fldChar w:fldCharType="begin"/>
          </w:r>
          <w:r>
            <w:instrText xml:space="preserve"> HYPERLINK \l "_Toc22902_WPSOffice_Level1" </w:instrText>
          </w:r>
          <w:r>
            <w:fldChar w:fldCharType="separate"/>
          </w:r>
          <w:r>
            <w:rPr>
              <w:rFonts w:ascii="Times New Roman" w:hAnsi="Times New Roman" w:eastAsia="方正小标宋_GBK"/>
              <w:sz w:val="32"/>
              <w:szCs w:val="32"/>
            </w:rPr>
            <w:t>序  言</w:t>
          </w:r>
          <w:r>
            <w:rPr>
              <w:rFonts w:ascii="Times New Roman" w:hAnsi="Times New Roman"/>
              <w:sz w:val="32"/>
              <w:szCs w:val="32"/>
            </w:rPr>
            <w:tab/>
          </w:r>
          <w:bookmarkStart w:id="4" w:name="_Toc22902_WPSOffice_Level1Page"/>
          <w:r>
            <w:rPr>
              <w:rFonts w:ascii="Times New Roman" w:hAnsi="Times New Roman"/>
              <w:sz w:val="32"/>
              <w:szCs w:val="32"/>
            </w:rPr>
            <w:t>1</w:t>
          </w:r>
          <w:bookmarkEnd w:id="4"/>
          <w:r>
            <w:rPr>
              <w:rFonts w:ascii="Times New Roman" w:hAnsi="Times New Roman"/>
              <w:sz w:val="32"/>
              <w:szCs w:val="32"/>
            </w:rPr>
            <w:fldChar w:fldCharType="end"/>
          </w:r>
        </w:p>
        <w:p w14:paraId="2DF5B6ED">
          <w:pPr>
            <w:pStyle w:val="43"/>
            <w:tabs>
              <w:tab w:val="right" w:leader="dot" w:pos="8844"/>
            </w:tabs>
            <w:spacing w:line="620" w:lineRule="exact"/>
            <w:rPr>
              <w:rFonts w:ascii="Times New Roman" w:hAnsi="Times New Roman"/>
              <w:sz w:val="32"/>
              <w:szCs w:val="32"/>
            </w:rPr>
          </w:pPr>
          <w:r>
            <w:fldChar w:fldCharType="begin"/>
          </w:r>
          <w:r>
            <w:instrText xml:space="preserve"> HYPERLINK \l "_Toc1284_WPSOffice_Level1" </w:instrText>
          </w:r>
          <w:r>
            <w:fldChar w:fldCharType="separate"/>
          </w:r>
          <w:r>
            <w:rPr>
              <w:rFonts w:ascii="Times New Roman" w:hAnsi="Times New Roman" w:eastAsia="方正小标宋_GBK"/>
              <w:sz w:val="32"/>
              <w:szCs w:val="32"/>
            </w:rPr>
            <w:t>第一部分：把握市场监管发展方向</w:t>
          </w:r>
          <w:r>
            <w:rPr>
              <w:rFonts w:ascii="Times New Roman" w:hAnsi="Times New Roman"/>
              <w:sz w:val="32"/>
              <w:szCs w:val="32"/>
            </w:rPr>
            <w:tab/>
          </w:r>
          <w:bookmarkStart w:id="5" w:name="_Toc1284_WPSOffice_Level1Page"/>
          <w:r>
            <w:rPr>
              <w:rFonts w:ascii="Times New Roman" w:hAnsi="Times New Roman"/>
              <w:sz w:val="32"/>
              <w:szCs w:val="32"/>
            </w:rPr>
            <w:t>3</w:t>
          </w:r>
          <w:bookmarkEnd w:id="5"/>
          <w:r>
            <w:rPr>
              <w:rFonts w:ascii="Times New Roman" w:hAnsi="Times New Roman"/>
              <w:sz w:val="32"/>
              <w:szCs w:val="32"/>
            </w:rPr>
            <w:fldChar w:fldCharType="end"/>
          </w:r>
        </w:p>
        <w:p w14:paraId="163F97A4">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"_Toc1284_WPSOffice_Level2" </w:instrText>
          </w:r>
          <w:r>
            <w:fldChar w:fldCharType="separate"/>
          </w:r>
          <w:r>
            <w:rPr>
              <w:rFonts w:ascii="Times New Roman" w:hAnsi="Times New Roman" w:eastAsia="方正黑体_GBK"/>
              <w:sz w:val="32"/>
              <w:szCs w:val="32"/>
            </w:rPr>
            <w:t>一、“十三五”期间的发展情况</w:t>
          </w:r>
          <w:r>
            <w:rPr>
              <w:rFonts w:ascii="Times New Roman" w:hAnsi="Times New Roman"/>
              <w:sz w:val="32"/>
              <w:szCs w:val="32"/>
            </w:rPr>
            <w:tab/>
          </w:r>
          <w:bookmarkStart w:id="6" w:name="_Toc1284_WPSOffice_Level2Page"/>
          <w:r>
            <w:rPr>
              <w:rFonts w:ascii="Times New Roman" w:hAnsi="Times New Roman"/>
              <w:sz w:val="32"/>
              <w:szCs w:val="32"/>
            </w:rPr>
            <w:t>3</w:t>
          </w:r>
          <w:bookmarkEnd w:id="6"/>
          <w:r>
            <w:rPr>
              <w:rFonts w:ascii="Times New Roman" w:hAnsi="Times New Roman"/>
              <w:sz w:val="32"/>
              <w:szCs w:val="32"/>
            </w:rPr>
            <w:fldChar w:fldCharType="end"/>
          </w:r>
        </w:p>
        <w:p w14:paraId="581BBD35">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"_Toc1284_WPSOffice_Level3" </w:instrText>
          </w:r>
          <w:r>
            <w:fldChar w:fldCharType="separate"/>
          </w:r>
          <w:r>
            <w:rPr>
              <w:rFonts w:ascii="Times New Roman" w:hAnsi="Times New Roman" w:eastAsia="方正楷体_GBK"/>
              <w:sz w:val="32"/>
              <w:szCs w:val="32"/>
            </w:rPr>
            <w:t>（一）取得的良好成效</w:t>
          </w:r>
          <w:r>
            <w:rPr>
              <w:rFonts w:ascii="Times New Roman" w:hAnsi="Times New Roman"/>
              <w:sz w:val="32"/>
              <w:szCs w:val="32"/>
            </w:rPr>
            <w:tab/>
          </w:r>
          <w:bookmarkStart w:id="7" w:name="_Toc1284_WPSOffice_Level3Page"/>
          <w:r>
            <w:rPr>
              <w:rFonts w:ascii="Times New Roman" w:hAnsi="Times New Roman"/>
              <w:sz w:val="32"/>
              <w:szCs w:val="32"/>
            </w:rPr>
            <w:t>3</w:t>
          </w:r>
          <w:bookmarkEnd w:id="7"/>
          <w:r>
            <w:rPr>
              <w:rFonts w:ascii="Times New Roman" w:hAnsi="Times New Roman"/>
              <w:sz w:val="32"/>
              <w:szCs w:val="32"/>
            </w:rPr>
            <w:fldChar w:fldCharType="end"/>
          </w:r>
        </w:p>
        <w:p w14:paraId="17D42C78">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"_Toc27360_WPSOffice_Level3" </w:instrText>
          </w:r>
          <w:r>
            <w:fldChar w:fldCharType="separate"/>
          </w:r>
          <w:r>
            <w:rPr>
              <w:rFonts w:ascii="Times New Roman" w:hAnsi="Times New Roman" w:eastAsia="方正楷体_GBK"/>
              <w:sz w:val="32"/>
              <w:szCs w:val="32"/>
            </w:rPr>
            <w:t>（二）面临的主要挑战</w:t>
          </w:r>
          <w:r>
            <w:rPr>
              <w:rFonts w:ascii="Times New Roman" w:hAnsi="Times New Roman"/>
              <w:sz w:val="32"/>
              <w:szCs w:val="32"/>
            </w:rPr>
            <w:tab/>
          </w:r>
          <w:bookmarkStart w:id="8" w:name="_Toc27360_WPSOffice_Level3Page"/>
          <w:r>
            <w:rPr>
              <w:rFonts w:ascii="Times New Roman" w:hAnsi="Times New Roman"/>
              <w:sz w:val="32"/>
              <w:szCs w:val="32"/>
            </w:rPr>
            <w:t>5</w:t>
          </w:r>
          <w:bookmarkEnd w:id="8"/>
          <w:r>
            <w:rPr>
              <w:rFonts w:ascii="Times New Roman" w:hAnsi="Times New Roman"/>
              <w:sz w:val="32"/>
              <w:szCs w:val="32"/>
            </w:rPr>
            <w:fldChar w:fldCharType="end"/>
          </w:r>
        </w:p>
        <w:p w14:paraId="403ACFA4">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"_Toc27360_WPSOffice_Level2" </w:instrText>
          </w:r>
          <w:r>
            <w:fldChar w:fldCharType="separate"/>
          </w:r>
          <w:r>
            <w:rPr>
              <w:rFonts w:ascii="Times New Roman" w:hAnsi="Times New Roman" w:eastAsia="方正黑体_GBK"/>
              <w:sz w:val="32"/>
              <w:szCs w:val="32"/>
            </w:rPr>
            <w:t>二、“十四五”期间的发展趋势</w:t>
          </w:r>
          <w:r>
            <w:rPr>
              <w:rFonts w:ascii="Times New Roman" w:hAnsi="Times New Roman"/>
              <w:sz w:val="32"/>
              <w:szCs w:val="32"/>
            </w:rPr>
            <w:tab/>
          </w:r>
          <w:bookmarkStart w:id="9" w:name="_Toc27360_WPSOffice_Level2Page"/>
          <w:r>
            <w:rPr>
              <w:rFonts w:ascii="Times New Roman" w:hAnsi="Times New Roman"/>
              <w:sz w:val="32"/>
              <w:szCs w:val="32"/>
            </w:rPr>
            <w:t>6</w:t>
          </w:r>
          <w:bookmarkEnd w:id="9"/>
          <w:r>
            <w:rPr>
              <w:rFonts w:ascii="Times New Roman" w:hAnsi="Times New Roman"/>
              <w:sz w:val="32"/>
              <w:szCs w:val="32"/>
            </w:rPr>
            <w:fldChar w:fldCharType="end"/>
          </w:r>
        </w:p>
        <w:p w14:paraId="05A567F1">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"_Toc32338_WPSOffice_Level3" </w:instrText>
          </w:r>
          <w:r>
            <w:fldChar w:fldCharType="separate"/>
          </w:r>
          <w:r>
            <w:rPr>
              <w:rFonts w:ascii="Times New Roman" w:hAnsi="Times New Roman" w:eastAsia="方正楷体_GBK"/>
              <w:sz w:val="32"/>
              <w:szCs w:val="32"/>
            </w:rPr>
            <w:t>（一）紧扣新时代主题</w:t>
          </w:r>
          <w:r>
            <w:rPr>
              <w:rFonts w:ascii="Times New Roman" w:hAnsi="Times New Roman"/>
              <w:sz w:val="32"/>
              <w:szCs w:val="32"/>
            </w:rPr>
            <w:tab/>
          </w:r>
          <w:bookmarkStart w:id="10" w:name="_Toc32338_WPSOffice_Level3Page"/>
          <w:r>
            <w:rPr>
              <w:rFonts w:ascii="Times New Roman" w:hAnsi="Times New Roman"/>
              <w:sz w:val="32"/>
              <w:szCs w:val="32"/>
            </w:rPr>
            <w:t>6</w:t>
          </w:r>
          <w:bookmarkEnd w:id="10"/>
          <w:r>
            <w:rPr>
              <w:rFonts w:ascii="Times New Roman" w:hAnsi="Times New Roman"/>
              <w:sz w:val="32"/>
              <w:szCs w:val="32"/>
            </w:rPr>
            <w:fldChar w:fldCharType="end"/>
          </w:r>
        </w:p>
        <w:p w14:paraId="0A2C5EC0">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"_Toc26713_WPSOffice_Level3" </w:instrText>
          </w:r>
          <w:r>
            <w:fldChar w:fldCharType="separate"/>
          </w:r>
          <w:r>
            <w:rPr>
              <w:rFonts w:ascii="Times New Roman" w:hAnsi="Times New Roman" w:eastAsia="方正楷体_GBK"/>
              <w:sz w:val="32"/>
              <w:szCs w:val="32"/>
            </w:rPr>
            <w:t>（二）开拓新发展格局</w:t>
          </w:r>
          <w:r>
            <w:rPr>
              <w:rFonts w:ascii="Times New Roman" w:hAnsi="Times New Roman"/>
              <w:sz w:val="32"/>
              <w:szCs w:val="32"/>
            </w:rPr>
            <w:tab/>
          </w:r>
          <w:bookmarkStart w:id="11" w:name="_Toc26713_WPSOffice_Level3Page"/>
          <w:r>
            <w:rPr>
              <w:rFonts w:ascii="Times New Roman" w:hAnsi="Times New Roman"/>
              <w:sz w:val="32"/>
              <w:szCs w:val="32"/>
            </w:rPr>
            <w:t>7</w:t>
          </w:r>
          <w:bookmarkEnd w:id="11"/>
          <w:r>
            <w:rPr>
              <w:rFonts w:ascii="Times New Roman" w:hAnsi="Times New Roman"/>
              <w:sz w:val="32"/>
              <w:szCs w:val="32"/>
            </w:rPr>
            <w:fldChar w:fldCharType="end"/>
          </w:r>
        </w:p>
        <w:p w14:paraId="68D6E0B8">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"_Toc8924_WPSOffice_Level3" </w:instrText>
          </w:r>
          <w:r>
            <w:fldChar w:fldCharType="separate"/>
          </w:r>
          <w:r>
            <w:rPr>
              <w:rFonts w:ascii="Times New Roman" w:hAnsi="Times New Roman" w:eastAsia="方正楷体_GBK"/>
              <w:sz w:val="32"/>
              <w:szCs w:val="32"/>
            </w:rPr>
            <w:t>（三）探索新发展机遇</w:t>
          </w:r>
          <w:r>
            <w:rPr>
              <w:rFonts w:ascii="Times New Roman" w:hAnsi="Times New Roman"/>
              <w:sz w:val="32"/>
              <w:szCs w:val="32"/>
            </w:rPr>
            <w:tab/>
          </w:r>
          <w:bookmarkStart w:id="12" w:name="_Toc8924_WPSOffice_Level3Page"/>
          <w:r>
            <w:rPr>
              <w:rFonts w:ascii="Times New Roman" w:hAnsi="Times New Roman"/>
              <w:sz w:val="32"/>
              <w:szCs w:val="32"/>
            </w:rPr>
            <w:t>7</w:t>
          </w:r>
          <w:bookmarkEnd w:id="12"/>
          <w:r>
            <w:rPr>
              <w:rFonts w:ascii="Times New Roman" w:hAnsi="Times New Roman"/>
              <w:sz w:val="32"/>
              <w:szCs w:val="32"/>
            </w:rPr>
            <w:fldChar w:fldCharType="end"/>
          </w:r>
        </w:p>
        <w:p w14:paraId="701BA905">
          <w:pPr>
            <w:pStyle w:val="43"/>
            <w:tabs>
              <w:tab w:val="right" w:leader="dot" w:pos="8844"/>
            </w:tabs>
            <w:spacing w:line="620" w:lineRule="exact"/>
            <w:rPr>
              <w:rFonts w:ascii="Times New Roman" w:hAnsi="Times New Roman"/>
              <w:sz w:val="32"/>
              <w:szCs w:val="32"/>
            </w:rPr>
          </w:pPr>
          <w:r>
            <w:fldChar w:fldCharType="begin"/>
          </w:r>
          <w:r>
            <w:instrText xml:space="preserve"> HYPERLINK \l "_Toc27360_WPSOffice_Level1" </w:instrText>
          </w:r>
          <w:r>
            <w:fldChar w:fldCharType="separate"/>
          </w:r>
          <w:r>
            <w:rPr>
              <w:rFonts w:ascii="Times New Roman" w:hAnsi="Times New Roman" w:eastAsia="方正小标宋_GBK"/>
              <w:sz w:val="32"/>
              <w:szCs w:val="32"/>
            </w:rPr>
            <w:t>第二部分：锚定市场监管发展战略</w:t>
          </w:r>
          <w:r>
            <w:rPr>
              <w:rFonts w:ascii="Times New Roman" w:hAnsi="Times New Roman"/>
              <w:sz w:val="32"/>
              <w:szCs w:val="32"/>
            </w:rPr>
            <w:tab/>
          </w:r>
          <w:bookmarkStart w:id="13" w:name="_Toc27360_WPSOffice_Level1Page"/>
          <w:r>
            <w:rPr>
              <w:rFonts w:ascii="Times New Roman" w:hAnsi="Times New Roman"/>
              <w:sz w:val="32"/>
              <w:szCs w:val="32"/>
            </w:rPr>
            <w:t>9</w:t>
          </w:r>
          <w:bookmarkEnd w:id="13"/>
          <w:r>
            <w:rPr>
              <w:rFonts w:ascii="Times New Roman" w:hAnsi="Times New Roman"/>
              <w:sz w:val="32"/>
              <w:szCs w:val="32"/>
            </w:rPr>
            <w:fldChar w:fldCharType="end"/>
          </w:r>
        </w:p>
        <w:p w14:paraId="1FFB3ED4">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"_Toc32338_WPSOffice_Level2" </w:instrText>
          </w:r>
          <w:r>
            <w:fldChar w:fldCharType="separate"/>
          </w:r>
          <w:r>
            <w:rPr>
              <w:rFonts w:ascii="Times New Roman" w:hAnsi="Times New Roman" w:eastAsia="方正黑体_GBK"/>
              <w:sz w:val="32"/>
              <w:szCs w:val="32"/>
            </w:rPr>
            <w:t>一、指导思想</w:t>
          </w:r>
          <w:r>
            <w:rPr>
              <w:rFonts w:ascii="Times New Roman" w:hAnsi="Times New Roman"/>
              <w:sz w:val="32"/>
              <w:szCs w:val="32"/>
            </w:rPr>
            <w:tab/>
          </w:r>
          <w:bookmarkStart w:id="14" w:name="_Toc32338_WPSOffice_Level2Page"/>
          <w:r>
            <w:rPr>
              <w:rFonts w:ascii="Times New Roman" w:hAnsi="Times New Roman"/>
              <w:sz w:val="32"/>
              <w:szCs w:val="32"/>
            </w:rPr>
            <w:t>9</w:t>
          </w:r>
          <w:bookmarkEnd w:id="14"/>
          <w:r>
            <w:rPr>
              <w:rFonts w:ascii="Times New Roman" w:hAnsi="Times New Roman"/>
              <w:sz w:val="32"/>
              <w:szCs w:val="32"/>
            </w:rPr>
            <w:fldChar w:fldCharType="end"/>
          </w:r>
        </w:p>
        <w:p w14:paraId="3A7A6A87">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"_Toc26713_WPSOffice_Level2" </w:instrText>
          </w:r>
          <w:r>
            <w:fldChar w:fldCharType="separate"/>
          </w:r>
          <w:r>
            <w:rPr>
              <w:rFonts w:ascii="Times New Roman" w:hAnsi="Times New Roman" w:eastAsia="方正黑体_GBK"/>
              <w:sz w:val="32"/>
              <w:szCs w:val="32"/>
            </w:rPr>
            <w:t>二、基本原则</w:t>
          </w:r>
          <w:r>
            <w:rPr>
              <w:rFonts w:ascii="Times New Roman" w:hAnsi="Times New Roman"/>
              <w:sz w:val="32"/>
              <w:szCs w:val="32"/>
            </w:rPr>
            <w:tab/>
          </w:r>
          <w:bookmarkStart w:id="15" w:name="_Toc26713_WPSOffice_Level2Page"/>
          <w:r>
            <w:rPr>
              <w:rFonts w:ascii="Times New Roman" w:hAnsi="Times New Roman"/>
              <w:sz w:val="32"/>
              <w:szCs w:val="32"/>
            </w:rPr>
            <w:t>9</w:t>
          </w:r>
          <w:bookmarkEnd w:id="15"/>
          <w:r>
            <w:rPr>
              <w:rFonts w:ascii="Times New Roman" w:hAnsi="Times New Roman"/>
              <w:sz w:val="32"/>
              <w:szCs w:val="32"/>
            </w:rPr>
            <w:fldChar w:fldCharType="end"/>
          </w:r>
        </w:p>
        <w:p w14:paraId="23D9027D">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"_Toc8924_WPSOffice_Level2" </w:instrText>
          </w:r>
          <w:r>
            <w:fldChar w:fldCharType="separate"/>
          </w:r>
          <w:r>
            <w:rPr>
              <w:rFonts w:ascii="Times New Roman" w:hAnsi="Times New Roman" w:eastAsia="方正黑体_GBK"/>
              <w:sz w:val="32"/>
              <w:szCs w:val="32"/>
            </w:rPr>
            <w:t>三、发展定位</w:t>
          </w:r>
          <w:r>
            <w:rPr>
              <w:rFonts w:ascii="Times New Roman" w:hAnsi="Times New Roman"/>
              <w:sz w:val="32"/>
              <w:szCs w:val="32"/>
            </w:rPr>
            <w:tab/>
          </w:r>
          <w:bookmarkStart w:id="16" w:name="_Toc8924_WPSOffice_Level2Page"/>
          <w:r>
            <w:rPr>
              <w:rFonts w:ascii="Times New Roman" w:hAnsi="Times New Roman"/>
              <w:sz w:val="32"/>
              <w:szCs w:val="32"/>
            </w:rPr>
            <w:t>12</w:t>
          </w:r>
          <w:bookmarkEnd w:id="16"/>
          <w:r>
            <w:rPr>
              <w:rFonts w:ascii="Times New Roman" w:hAnsi="Times New Roman"/>
              <w:sz w:val="32"/>
              <w:szCs w:val="32"/>
            </w:rPr>
            <w:fldChar w:fldCharType="end"/>
          </w:r>
        </w:p>
        <w:p w14:paraId="7C08DE7B">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"_Toc6272_WPSOffice_Level2" </w:instrText>
          </w:r>
          <w:r>
            <w:fldChar w:fldCharType="separate"/>
          </w:r>
          <w:r>
            <w:rPr>
              <w:rFonts w:ascii="Times New Roman" w:hAnsi="Times New Roman" w:eastAsia="方正黑体_GBK"/>
              <w:sz w:val="32"/>
              <w:szCs w:val="32"/>
            </w:rPr>
            <w:t>四、总体目标</w:t>
          </w:r>
          <w:r>
            <w:rPr>
              <w:rFonts w:ascii="Times New Roman" w:hAnsi="Times New Roman"/>
              <w:sz w:val="32"/>
              <w:szCs w:val="32"/>
            </w:rPr>
            <w:tab/>
          </w:r>
          <w:bookmarkStart w:id="17" w:name="_Toc6272_WPSOffice_Level2Page"/>
          <w:r>
            <w:rPr>
              <w:rFonts w:ascii="Times New Roman" w:hAnsi="Times New Roman"/>
              <w:sz w:val="32"/>
              <w:szCs w:val="32"/>
            </w:rPr>
            <w:t>12</w:t>
          </w:r>
          <w:bookmarkEnd w:id="17"/>
          <w:r>
            <w:rPr>
              <w:rFonts w:ascii="Times New Roman" w:hAnsi="Times New Roman"/>
              <w:sz w:val="32"/>
              <w:szCs w:val="32"/>
            </w:rPr>
            <w:fldChar w:fldCharType="end"/>
          </w:r>
        </w:p>
        <w:p w14:paraId="5429B5E7">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"_Toc23362_WPSOffice_Level2" </w:instrText>
          </w:r>
          <w:r>
            <w:fldChar w:fldCharType="separate"/>
          </w:r>
          <w:r>
            <w:rPr>
              <w:rFonts w:ascii="Times New Roman" w:hAnsi="Times New Roman" w:eastAsia="方正黑体_GBK"/>
              <w:sz w:val="32"/>
              <w:szCs w:val="32"/>
            </w:rPr>
            <w:t>五、主要指标</w:t>
          </w:r>
          <w:r>
            <w:rPr>
              <w:rFonts w:ascii="Times New Roman" w:hAnsi="Times New Roman"/>
              <w:sz w:val="32"/>
              <w:szCs w:val="32"/>
            </w:rPr>
            <w:tab/>
          </w:r>
          <w:bookmarkStart w:id="18" w:name="_Toc23362_WPSOffice_Level2Page"/>
          <w:r>
            <w:rPr>
              <w:rFonts w:ascii="Times New Roman" w:hAnsi="Times New Roman"/>
              <w:sz w:val="32"/>
              <w:szCs w:val="32"/>
            </w:rPr>
            <w:t>14</w:t>
          </w:r>
          <w:bookmarkEnd w:id="18"/>
          <w:r>
            <w:rPr>
              <w:rFonts w:ascii="Times New Roman" w:hAnsi="Times New Roman"/>
              <w:sz w:val="32"/>
              <w:szCs w:val="32"/>
            </w:rPr>
            <w:fldChar w:fldCharType="end"/>
          </w:r>
        </w:p>
        <w:p w14:paraId="7CA244E5">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"_Toc11869_WPSOffice_Level2" </w:instrText>
          </w:r>
          <w:r>
            <w:fldChar w:fldCharType="separate"/>
          </w:r>
          <w:r>
            <w:rPr>
              <w:rFonts w:ascii="Times New Roman" w:hAnsi="Times New Roman" w:eastAsia="方正黑体_GBK"/>
              <w:sz w:val="32"/>
              <w:szCs w:val="32"/>
            </w:rPr>
            <w:t>丰都县市场监管现代化“十四五”规划主要指标</w:t>
          </w:r>
          <w:r>
            <w:rPr>
              <w:rFonts w:ascii="Times New Roman" w:hAnsi="Times New Roman"/>
              <w:sz w:val="32"/>
              <w:szCs w:val="32"/>
            </w:rPr>
            <w:tab/>
          </w:r>
          <w:bookmarkStart w:id="19" w:name="_Toc11869_WPSOffice_Level2Page"/>
          <w:r>
            <w:rPr>
              <w:rFonts w:ascii="Times New Roman" w:hAnsi="Times New Roman"/>
              <w:sz w:val="32"/>
              <w:szCs w:val="32"/>
            </w:rPr>
            <w:t>15</w:t>
          </w:r>
          <w:bookmarkEnd w:id="19"/>
          <w:r>
            <w:rPr>
              <w:rFonts w:ascii="Times New Roman" w:hAnsi="Times New Roman"/>
              <w:sz w:val="32"/>
              <w:szCs w:val="32"/>
            </w:rPr>
            <w:fldChar w:fldCharType="end"/>
          </w:r>
        </w:p>
        <w:p w14:paraId="26DBB997">
          <w:pPr>
            <w:pStyle w:val="43"/>
            <w:tabs>
              <w:tab w:val="right" w:leader="dot" w:pos="8844"/>
            </w:tabs>
            <w:spacing w:line="620" w:lineRule="exact"/>
            <w:rPr>
              <w:rFonts w:ascii="Times New Roman" w:hAnsi="Times New Roman"/>
              <w:sz w:val="32"/>
              <w:szCs w:val="32"/>
            </w:rPr>
          </w:pPr>
          <w:r>
            <w:fldChar w:fldCharType="begin"/>
          </w:r>
          <w:r>
            <w:instrText xml:space="preserve"> HYPERLINK \l "_Toc32338_WPSOffice_Level1" </w:instrText>
          </w:r>
          <w:r>
            <w:fldChar w:fldCharType="separate"/>
          </w:r>
          <w:r>
            <w:rPr>
              <w:rFonts w:ascii="Times New Roman" w:hAnsi="Times New Roman" w:eastAsia="方正小标宋_GBK"/>
              <w:sz w:val="32"/>
              <w:szCs w:val="32"/>
            </w:rPr>
            <w:t>第三部分：筑牢安全底线</w:t>
          </w:r>
          <w:r>
            <w:rPr>
              <w:rFonts w:ascii="Times New Roman" w:hAnsi="Times New Roman"/>
              <w:sz w:val="32"/>
              <w:szCs w:val="32"/>
            </w:rPr>
            <w:tab/>
          </w:r>
          <w:bookmarkStart w:id="20" w:name="_Toc32338_WPSOffice_Level1Page"/>
          <w:r>
            <w:rPr>
              <w:rFonts w:ascii="Times New Roman" w:hAnsi="Times New Roman"/>
              <w:sz w:val="32"/>
              <w:szCs w:val="32"/>
            </w:rPr>
            <w:t>16</w:t>
          </w:r>
          <w:bookmarkEnd w:id="20"/>
          <w:r>
            <w:rPr>
              <w:rFonts w:ascii="Times New Roman" w:hAnsi="Times New Roman"/>
              <w:sz w:val="32"/>
              <w:szCs w:val="32"/>
            </w:rPr>
            <w:fldChar w:fldCharType="end"/>
          </w:r>
        </w:p>
        <w:p w14:paraId="2B6DFB3A">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"_Toc3986_WPSOffice_Level2" </w:instrText>
          </w:r>
          <w:r>
            <w:fldChar w:fldCharType="separate"/>
          </w:r>
          <w:r>
            <w:rPr>
              <w:rFonts w:ascii="Times New Roman" w:hAnsi="Times New Roman" w:eastAsia="方正黑体_GBK"/>
              <w:sz w:val="32"/>
              <w:szCs w:val="32"/>
            </w:rPr>
            <w:t>一、食品安全监管</w:t>
          </w:r>
          <w:r>
            <w:rPr>
              <w:rFonts w:ascii="Times New Roman" w:hAnsi="Times New Roman"/>
              <w:sz w:val="32"/>
              <w:szCs w:val="32"/>
            </w:rPr>
            <w:tab/>
          </w:r>
          <w:bookmarkStart w:id="21" w:name="_Toc3986_WPSOffice_Level2Page"/>
          <w:r>
            <w:rPr>
              <w:rFonts w:ascii="Times New Roman" w:hAnsi="Times New Roman"/>
              <w:sz w:val="32"/>
              <w:szCs w:val="32"/>
            </w:rPr>
            <w:t>16</w:t>
          </w:r>
          <w:bookmarkEnd w:id="21"/>
          <w:r>
            <w:rPr>
              <w:rFonts w:ascii="Times New Roman" w:hAnsi="Times New Roman"/>
              <w:sz w:val="32"/>
              <w:szCs w:val="32"/>
            </w:rPr>
            <w:fldChar w:fldCharType="end"/>
          </w:r>
        </w:p>
        <w:p w14:paraId="34EF6F4D">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"_Toc6272_WPSOffice_Level3" </w:instrText>
          </w:r>
          <w:r>
            <w:fldChar w:fldCharType="separate"/>
          </w:r>
          <w:r>
            <w:rPr>
              <w:rFonts w:ascii="Times New Roman" w:hAnsi="Times New Roman" w:eastAsia="方正楷体_GBK"/>
              <w:sz w:val="32"/>
              <w:szCs w:val="32"/>
            </w:rPr>
            <w:t>（一）推进食品安全体系建设</w:t>
          </w:r>
          <w:r>
            <w:rPr>
              <w:rFonts w:ascii="Times New Roman" w:hAnsi="Times New Roman"/>
              <w:sz w:val="32"/>
              <w:szCs w:val="32"/>
            </w:rPr>
            <w:tab/>
          </w:r>
          <w:bookmarkStart w:id="22" w:name="_Toc6272_WPSOffice_Level3Page"/>
          <w:r>
            <w:rPr>
              <w:rFonts w:ascii="Times New Roman" w:hAnsi="Times New Roman"/>
              <w:sz w:val="32"/>
              <w:szCs w:val="32"/>
            </w:rPr>
            <w:t>16</w:t>
          </w:r>
          <w:bookmarkEnd w:id="22"/>
          <w:r>
            <w:rPr>
              <w:rFonts w:ascii="Times New Roman" w:hAnsi="Times New Roman"/>
              <w:sz w:val="32"/>
              <w:szCs w:val="32"/>
            </w:rPr>
            <w:fldChar w:fldCharType="end"/>
          </w:r>
        </w:p>
        <w:p w14:paraId="3BE51005">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"_Toc23362_WPSOffice_Level3" </w:instrText>
          </w:r>
          <w:r>
            <w:fldChar w:fldCharType="separate"/>
          </w:r>
          <w:r>
            <w:rPr>
              <w:rFonts w:ascii="Times New Roman" w:hAnsi="Times New Roman" w:eastAsia="方正楷体_GBK"/>
              <w:sz w:val="32"/>
              <w:szCs w:val="32"/>
            </w:rPr>
            <w:t>（二）强化食品安全违法惩戒</w:t>
          </w:r>
          <w:r>
            <w:rPr>
              <w:rFonts w:ascii="Times New Roman" w:hAnsi="Times New Roman"/>
              <w:sz w:val="32"/>
              <w:szCs w:val="32"/>
            </w:rPr>
            <w:tab/>
          </w:r>
          <w:bookmarkStart w:id="23" w:name="_Toc23362_WPSOffice_Level3Page"/>
          <w:r>
            <w:rPr>
              <w:rFonts w:ascii="Times New Roman" w:hAnsi="Times New Roman"/>
              <w:sz w:val="32"/>
              <w:szCs w:val="32"/>
            </w:rPr>
            <w:t>16</w:t>
          </w:r>
          <w:bookmarkEnd w:id="23"/>
          <w:r>
            <w:rPr>
              <w:rFonts w:ascii="Times New Roman" w:hAnsi="Times New Roman"/>
              <w:sz w:val="32"/>
              <w:szCs w:val="32"/>
            </w:rPr>
            <w:fldChar w:fldCharType="end"/>
          </w:r>
        </w:p>
        <w:p w14:paraId="76D1379D">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"_Toc11869_WPSOffice_Level3" </w:instrText>
          </w:r>
          <w:r>
            <w:fldChar w:fldCharType="separate"/>
          </w:r>
          <w:r>
            <w:rPr>
              <w:rFonts w:ascii="Times New Roman" w:hAnsi="Times New Roman" w:eastAsia="方正楷体_GBK"/>
              <w:sz w:val="32"/>
              <w:szCs w:val="32"/>
            </w:rPr>
            <w:t>（三）加大食品安全抽检力度</w:t>
          </w:r>
          <w:r>
            <w:rPr>
              <w:rFonts w:ascii="Times New Roman" w:hAnsi="Times New Roman"/>
              <w:sz w:val="32"/>
              <w:szCs w:val="32"/>
            </w:rPr>
            <w:tab/>
          </w:r>
          <w:bookmarkStart w:id="24" w:name="_Toc11869_WPSOffice_Level3Page"/>
          <w:r>
            <w:rPr>
              <w:rFonts w:ascii="Times New Roman" w:hAnsi="Times New Roman"/>
              <w:sz w:val="32"/>
              <w:szCs w:val="32"/>
            </w:rPr>
            <w:t>17</w:t>
          </w:r>
          <w:bookmarkEnd w:id="24"/>
          <w:r>
            <w:rPr>
              <w:rFonts w:ascii="Times New Roman" w:hAnsi="Times New Roman"/>
              <w:sz w:val="32"/>
              <w:szCs w:val="32"/>
            </w:rPr>
            <w:fldChar w:fldCharType="end"/>
          </w:r>
        </w:p>
        <w:p w14:paraId="2C55FB28">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"_Toc3986_WPSOffice_Level3" </w:instrText>
          </w:r>
          <w:r>
            <w:fldChar w:fldCharType="separate"/>
          </w:r>
          <w:r>
            <w:rPr>
              <w:rFonts w:ascii="Times New Roman" w:hAnsi="Times New Roman" w:eastAsia="方正楷体_GBK"/>
              <w:sz w:val="32"/>
              <w:szCs w:val="32"/>
            </w:rPr>
            <w:t>（四）提升食品安全满意度</w:t>
          </w:r>
          <w:r>
            <w:rPr>
              <w:rFonts w:ascii="Times New Roman" w:hAnsi="Times New Roman"/>
              <w:sz w:val="32"/>
              <w:szCs w:val="32"/>
            </w:rPr>
            <w:tab/>
          </w:r>
          <w:bookmarkStart w:id="25" w:name="_Toc3986_WPSOffice_Level3Page"/>
          <w:r>
            <w:rPr>
              <w:rFonts w:ascii="Times New Roman" w:hAnsi="Times New Roman"/>
              <w:sz w:val="32"/>
              <w:szCs w:val="32"/>
            </w:rPr>
            <w:t>18</w:t>
          </w:r>
          <w:bookmarkEnd w:id="25"/>
          <w:r>
            <w:rPr>
              <w:rFonts w:ascii="Times New Roman" w:hAnsi="Times New Roman"/>
              <w:sz w:val="32"/>
              <w:szCs w:val="32"/>
            </w:rPr>
            <w:fldChar w:fldCharType="end"/>
          </w:r>
        </w:p>
        <w:p w14:paraId="7BC30F7F">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"_Toc5715_WPSOffice_Level2" </w:instrText>
          </w:r>
          <w:r>
            <w:fldChar w:fldCharType="separate"/>
          </w:r>
          <w:r>
            <w:rPr>
              <w:rFonts w:ascii="Times New Roman" w:hAnsi="Times New Roman" w:eastAsia="方正黑体_GBK"/>
              <w:sz w:val="32"/>
              <w:szCs w:val="32"/>
            </w:rPr>
            <w:t>二、药品安全监管</w:t>
          </w:r>
          <w:r>
            <w:rPr>
              <w:rFonts w:ascii="Times New Roman" w:hAnsi="Times New Roman"/>
              <w:sz w:val="32"/>
              <w:szCs w:val="32"/>
            </w:rPr>
            <w:tab/>
          </w:r>
          <w:bookmarkStart w:id="26" w:name="_Toc5715_WPSOffice_Level2Page"/>
          <w:r>
            <w:rPr>
              <w:rFonts w:ascii="Times New Roman" w:hAnsi="Times New Roman"/>
              <w:sz w:val="32"/>
              <w:szCs w:val="32"/>
            </w:rPr>
            <w:t>18</w:t>
          </w:r>
          <w:bookmarkEnd w:id="26"/>
          <w:r>
            <w:rPr>
              <w:rFonts w:ascii="Times New Roman" w:hAnsi="Times New Roman"/>
              <w:sz w:val="32"/>
              <w:szCs w:val="32"/>
            </w:rPr>
            <w:fldChar w:fldCharType="end"/>
          </w:r>
        </w:p>
        <w:p w14:paraId="69D6D2A4">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"_Toc5411_WPSOffice_Level2" </w:instrText>
          </w:r>
          <w:r>
            <w:fldChar w:fldCharType="separate"/>
          </w:r>
          <w:r>
            <w:rPr>
              <w:rFonts w:ascii="Times New Roman" w:hAnsi="Times New Roman" w:eastAsia="方正黑体_GBK"/>
              <w:sz w:val="32"/>
              <w:szCs w:val="32"/>
            </w:rPr>
            <w:t>三、特种设备安全监管</w:t>
          </w:r>
          <w:r>
            <w:rPr>
              <w:rFonts w:ascii="Times New Roman" w:hAnsi="Times New Roman"/>
              <w:sz w:val="32"/>
              <w:szCs w:val="32"/>
            </w:rPr>
            <w:tab/>
          </w:r>
          <w:bookmarkStart w:id="27" w:name="_Toc5411_WPSOffice_Level2Page"/>
          <w:r>
            <w:rPr>
              <w:rFonts w:ascii="Times New Roman" w:hAnsi="Times New Roman"/>
              <w:sz w:val="32"/>
              <w:szCs w:val="32"/>
            </w:rPr>
            <w:t>19</w:t>
          </w:r>
          <w:bookmarkEnd w:id="27"/>
          <w:r>
            <w:rPr>
              <w:rFonts w:ascii="Times New Roman" w:hAnsi="Times New Roman"/>
              <w:sz w:val="32"/>
              <w:szCs w:val="32"/>
            </w:rPr>
            <w:fldChar w:fldCharType="end"/>
          </w:r>
        </w:p>
        <w:p w14:paraId="32469E2C">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"_Toc26856_WPSOffice_Level2" </w:instrText>
          </w:r>
          <w:r>
            <w:fldChar w:fldCharType="separate"/>
          </w:r>
          <w:r>
            <w:rPr>
              <w:rFonts w:ascii="Times New Roman" w:hAnsi="Times New Roman" w:eastAsia="方正黑体_GBK"/>
              <w:sz w:val="32"/>
              <w:szCs w:val="32"/>
            </w:rPr>
            <w:t>四、产品质量安全监管</w:t>
          </w:r>
          <w:r>
            <w:rPr>
              <w:rFonts w:ascii="Times New Roman" w:hAnsi="Times New Roman"/>
              <w:sz w:val="32"/>
              <w:szCs w:val="32"/>
            </w:rPr>
            <w:tab/>
          </w:r>
          <w:bookmarkStart w:id="28" w:name="_Toc26856_WPSOffice_Level2Page"/>
          <w:r>
            <w:rPr>
              <w:rFonts w:ascii="Times New Roman" w:hAnsi="Times New Roman"/>
              <w:sz w:val="32"/>
              <w:szCs w:val="32"/>
            </w:rPr>
            <w:t>20</w:t>
          </w:r>
          <w:bookmarkEnd w:id="28"/>
          <w:r>
            <w:rPr>
              <w:rFonts w:ascii="Times New Roman" w:hAnsi="Times New Roman"/>
              <w:sz w:val="32"/>
              <w:szCs w:val="32"/>
            </w:rPr>
            <w:fldChar w:fldCharType="end"/>
          </w:r>
        </w:p>
        <w:p w14:paraId="54E21F4D">
          <w:pPr>
            <w:pStyle w:val="43"/>
            <w:tabs>
              <w:tab w:val="right" w:leader="dot" w:pos="8844"/>
            </w:tabs>
            <w:spacing w:line="620" w:lineRule="exact"/>
            <w:rPr>
              <w:rFonts w:ascii="Times New Roman" w:hAnsi="Times New Roman"/>
              <w:sz w:val="32"/>
              <w:szCs w:val="32"/>
            </w:rPr>
          </w:pPr>
          <w:r>
            <w:fldChar w:fldCharType="begin"/>
          </w:r>
          <w:r>
            <w:instrText xml:space="preserve"> HYPERLINK \l "_Toc26713_WPSOffice_Level1" </w:instrText>
          </w:r>
          <w:r>
            <w:fldChar w:fldCharType="separate"/>
          </w:r>
          <w:r>
            <w:rPr>
              <w:rFonts w:ascii="Times New Roman" w:hAnsi="Times New Roman" w:eastAsia="方正小标宋_GBK"/>
              <w:sz w:val="32"/>
              <w:szCs w:val="32"/>
            </w:rPr>
            <w:t>第四部分：优化营商环境</w:t>
          </w:r>
          <w:r>
            <w:rPr>
              <w:rFonts w:ascii="Times New Roman" w:hAnsi="Times New Roman"/>
              <w:sz w:val="32"/>
              <w:szCs w:val="32"/>
            </w:rPr>
            <w:tab/>
          </w:r>
          <w:bookmarkStart w:id="29" w:name="_Toc26713_WPSOffice_Level1Page"/>
          <w:r>
            <w:rPr>
              <w:rFonts w:ascii="Times New Roman" w:hAnsi="Times New Roman"/>
              <w:sz w:val="32"/>
              <w:szCs w:val="32"/>
            </w:rPr>
            <w:t>21</w:t>
          </w:r>
          <w:bookmarkEnd w:id="29"/>
          <w:r>
            <w:rPr>
              <w:rFonts w:ascii="Times New Roman" w:hAnsi="Times New Roman"/>
              <w:sz w:val="32"/>
              <w:szCs w:val="32"/>
            </w:rPr>
            <w:fldChar w:fldCharType="end"/>
          </w:r>
        </w:p>
        <w:p w14:paraId="1A6CF909">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"_Toc8363_WPSOffice_Level2" </w:instrText>
          </w:r>
          <w:r>
            <w:fldChar w:fldCharType="separate"/>
          </w:r>
          <w:r>
            <w:rPr>
              <w:rFonts w:ascii="Times New Roman" w:hAnsi="Times New Roman" w:eastAsia="方正黑体_GBK"/>
              <w:sz w:val="32"/>
              <w:szCs w:val="32"/>
            </w:rPr>
            <w:t>一、深化商事制度改革</w:t>
          </w:r>
          <w:r>
            <w:rPr>
              <w:rFonts w:ascii="Times New Roman" w:hAnsi="Times New Roman"/>
              <w:sz w:val="32"/>
              <w:szCs w:val="32"/>
            </w:rPr>
            <w:tab/>
          </w:r>
          <w:bookmarkStart w:id="30" w:name="_Toc8363_WPSOffice_Level2Page"/>
          <w:r>
            <w:rPr>
              <w:rFonts w:ascii="Times New Roman" w:hAnsi="Times New Roman"/>
              <w:sz w:val="32"/>
              <w:szCs w:val="32"/>
            </w:rPr>
            <w:t>21</w:t>
          </w:r>
          <w:bookmarkEnd w:id="30"/>
          <w:r>
            <w:rPr>
              <w:rFonts w:ascii="Times New Roman" w:hAnsi="Times New Roman"/>
              <w:sz w:val="32"/>
              <w:szCs w:val="32"/>
            </w:rPr>
            <w:fldChar w:fldCharType="end"/>
          </w:r>
        </w:p>
        <w:p w14:paraId="7328143E">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"_Toc5715_WPSOffice_Level3" </w:instrText>
          </w:r>
          <w:r>
            <w:fldChar w:fldCharType="separate"/>
          </w:r>
          <w:r>
            <w:rPr>
              <w:rFonts w:ascii="Times New Roman" w:hAnsi="Times New Roman" w:eastAsia="方正楷体_GBK"/>
              <w:sz w:val="32"/>
              <w:szCs w:val="32"/>
            </w:rPr>
            <w:t>（一）持续激发市场主体活力</w:t>
          </w:r>
          <w:r>
            <w:rPr>
              <w:rFonts w:ascii="Times New Roman" w:hAnsi="Times New Roman"/>
              <w:sz w:val="32"/>
              <w:szCs w:val="32"/>
            </w:rPr>
            <w:tab/>
          </w:r>
          <w:bookmarkStart w:id="31" w:name="_Toc5715_WPSOffice_Level3Page"/>
          <w:r>
            <w:rPr>
              <w:rFonts w:ascii="Times New Roman" w:hAnsi="Times New Roman"/>
              <w:sz w:val="32"/>
              <w:szCs w:val="32"/>
            </w:rPr>
            <w:t>21</w:t>
          </w:r>
          <w:bookmarkEnd w:id="31"/>
          <w:r>
            <w:rPr>
              <w:rFonts w:ascii="Times New Roman" w:hAnsi="Times New Roman"/>
              <w:sz w:val="32"/>
              <w:szCs w:val="32"/>
            </w:rPr>
            <w:fldChar w:fldCharType="end"/>
          </w:r>
        </w:p>
        <w:p w14:paraId="53518B05">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"_Toc5411_WPSOffice_Level3" </w:instrText>
          </w:r>
          <w:r>
            <w:fldChar w:fldCharType="separate"/>
          </w:r>
          <w:r>
            <w:rPr>
              <w:rFonts w:ascii="Times New Roman" w:hAnsi="Times New Roman" w:eastAsia="方正楷体_GBK"/>
              <w:sz w:val="32"/>
              <w:szCs w:val="32"/>
            </w:rPr>
            <w:t>（二）不断优化市场主体结构</w:t>
          </w:r>
          <w:r>
            <w:rPr>
              <w:rFonts w:ascii="Times New Roman" w:hAnsi="Times New Roman"/>
              <w:sz w:val="32"/>
              <w:szCs w:val="32"/>
            </w:rPr>
            <w:tab/>
          </w:r>
          <w:bookmarkStart w:id="32" w:name="_Toc5411_WPSOffice_Level3Page"/>
          <w:r>
            <w:rPr>
              <w:rFonts w:ascii="Times New Roman" w:hAnsi="Times New Roman"/>
              <w:sz w:val="32"/>
              <w:szCs w:val="32"/>
            </w:rPr>
            <w:t>21</w:t>
          </w:r>
          <w:bookmarkEnd w:id="32"/>
          <w:r>
            <w:rPr>
              <w:rFonts w:ascii="Times New Roman" w:hAnsi="Times New Roman"/>
              <w:sz w:val="32"/>
              <w:szCs w:val="32"/>
            </w:rPr>
            <w:fldChar w:fldCharType="end"/>
          </w:r>
        </w:p>
        <w:p w14:paraId="07B6CFD0">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"_Toc26856_WPSOffice_Level3" </w:instrText>
          </w:r>
          <w:r>
            <w:fldChar w:fldCharType="separate"/>
          </w:r>
          <w:r>
            <w:rPr>
              <w:rFonts w:ascii="Times New Roman" w:hAnsi="Times New Roman" w:eastAsia="方正楷体_GBK"/>
              <w:sz w:val="32"/>
              <w:szCs w:val="32"/>
            </w:rPr>
            <w:t>（三）稳步提升市场主体质量</w:t>
          </w:r>
          <w:r>
            <w:rPr>
              <w:rFonts w:ascii="Times New Roman" w:hAnsi="Times New Roman"/>
              <w:sz w:val="32"/>
              <w:szCs w:val="32"/>
            </w:rPr>
            <w:tab/>
          </w:r>
          <w:bookmarkStart w:id="33" w:name="_Toc26856_WPSOffice_Level3Page"/>
          <w:r>
            <w:rPr>
              <w:rFonts w:ascii="Times New Roman" w:hAnsi="Times New Roman"/>
              <w:sz w:val="32"/>
              <w:szCs w:val="32"/>
            </w:rPr>
            <w:t>22</w:t>
          </w:r>
          <w:bookmarkEnd w:id="33"/>
          <w:r>
            <w:rPr>
              <w:rFonts w:ascii="Times New Roman" w:hAnsi="Times New Roman"/>
              <w:sz w:val="32"/>
              <w:szCs w:val="32"/>
            </w:rPr>
            <w:fldChar w:fldCharType="end"/>
          </w:r>
        </w:p>
        <w:p w14:paraId="399A8357">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"_Toc8363_WPSOffice_Level3" </w:instrText>
          </w:r>
          <w:r>
            <w:fldChar w:fldCharType="separate"/>
          </w:r>
          <w:r>
            <w:rPr>
              <w:rFonts w:ascii="Times New Roman" w:hAnsi="Times New Roman" w:eastAsia="方正楷体_GBK"/>
              <w:sz w:val="32"/>
              <w:szCs w:val="32"/>
            </w:rPr>
            <w:t>（四）切实解决市场主体困难</w:t>
          </w:r>
          <w:r>
            <w:rPr>
              <w:rFonts w:ascii="Times New Roman" w:hAnsi="Times New Roman"/>
              <w:sz w:val="32"/>
              <w:szCs w:val="32"/>
            </w:rPr>
            <w:tab/>
          </w:r>
          <w:bookmarkStart w:id="34" w:name="_Toc8363_WPSOffice_Level3Page"/>
          <w:r>
            <w:rPr>
              <w:rFonts w:ascii="Times New Roman" w:hAnsi="Times New Roman"/>
              <w:sz w:val="32"/>
              <w:szCs w:val="32"/>
            </w:rPr>
            <w:t>22</w:t>
          </w:r>
          <w:bookmarkEnd w:id="34"/>
          <w:r>
            <w:rPr>
              <w:rFonts w:ascii="Times New Roman" w:hAnsi="Times New Roman"/>
              <w:sz w:val="32"/>
              <w:szCs w:val="32"/>
            </w:rPr>
            <w:fldChar w:fldCharType="end"/>
          </w:r>
        </w:p>
        <w:p w14:paraId="724EFAFA">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"_Toc13598_WPSOffice_Level2" </w:instrText>
          </w:r>
          <w:r>
            <w:fldChar w:fldCharType="separate"/>
          </w:r>
          <w:r>
            <w:rPr>
              <w:rFonts w:ascii="Times New Roman" w:hAnsi="Times New Roman" w:eastAsia="方正黑体_GBK"/>
              <w:sz w:val="32"/>
              <w:szCs w:val="32"/>
            </w:rPr>
            <w:t>丰都县“十四五”期间市场主体预期发展目标</w:t>
          </w:r>
          <w:r>
            <w:rPr>
              <w:rFonts w:ascii="Times New Roman" w:hAnsi="Times New Roman"/>
              <w:sz w:val="32"/>
              <w:szCs w:val="32"/>
            </w:rPr>
            <w:tab/>
          </w:r>
          <w:bookmarkStart w:id="35" w:name="_Toc13598_WPSOffice_Level2Page"/>
          <w:r>
            <w:rPr>
              <w:rFonts w:ascii="Times New Roman" w:hAnsi="Times New Roman"/>
              <w:sz w:val="32"/>
              <w:szCs w:val="32"/>
            </w:rPr>
            <w:t>23</w:t>
          </w:r>
          <w:bookmarkEnd w:id="35"/>
          <w:r>
            <w:rPr>
              <w:rFonts w:ascii="Times New Roman" w:hAnsi="Times New Roman"/>
              <w:sz w:val="32"/>
              <w:szCs w:val="32"/>
            </w:rPr>
            <w:fldChar w:fldCharType="end"/>
          </w:r>
        </w:p>
        <w:p w14:paraId="07D8AFD9">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"_Toc1466_WPSOffice_Level2" </w:instrText>
          </w:r>
          <w:r>
            <w:fldChar w:fldCharType="separate"/>
          </w:r>
          <w:r>
            <w:rPr>
              <w:rFonts w:ascii="Times New Roman" w:hAnsi="Times New Roman" w:eastAsia="方正黑体_GBK"/>
              <w:sz w:val="32"/>
              <w:szCs w:val="32"/>
            </w:rPr>
            <w:t>二、强化综合监管</w:t>
          </w:r>
          <w:r>
            <w:rPr>
              <w:rFonts w:ascii="Times New Roman" w:hAnsi="Times New Roman"/>
              <w:sz w:val="32"/>
              <w:szCs w:val="32"/>
            </w:rPr>
            <w:tab/>
          </w:r>
          <w:bookmarkStart w:id="36" w:name="_Toc1466_WPSOffice_Level2Page"/>
          <w:r>
            <w:rPr>
              <w:rFonts w:ascii="Times New Roman" w:hAnsi="Times New Roman"/>
              <w:sz w:val="32"/>
              <w:szCs w:val="32"/>
            </w:rPr>
            <w:t>23</w:t>
          </w:r>
          <w:bookmarkEnd w:id="36"/>
          <w:r>
            <w:rPr>
              <w:rFonts w:ascii="Times New Roman" w:hAnsi="Times New Roman"/>
              <w:sz w:val="32"/>
              <w:szCs w:val="32"/>
            </w:rPr>
            <w:fldChar w:fldCharType="end"/>
          </w:r>
        </w:p>
        <w:p w14:paraId="7397927D">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"_Toc13598_WPSOffice_Level3" </w:instrText>
          </w:r>
          <w:r>
            <w:fldChar w:fldCharType="separate"/>
          </w:r>
          <w:r>
            <w:rPr>
              <w:rFonts w:ascii="Times New Roman" w:hAnsi="Times New Roman" w:eastAsia="方正楷体_GBK"/>
              <w:sz w:val="32"/>
              <w:szCs w:val="32"/>
            </w:rPr>
            <w:t>（一）加强重点领域市场监管</w:t>
          </w:r>
          <w:r>
            <w:rPr>
              <w:rFonts w:ascii="Times New Roman" w:hAnsi="Times New Roman"/>
              <w:sz w:val="32"/>
              <w:szCs w:val="32"/>
            </w:rPr>
            <w:tab/>
          </w:r>
          <w:bookmarkStart w:id="37" w:name="_Toc13598_WPSOffice_Level3Page"/>
          <w:r>
            <w:rPr>
              <w:rFonts w:ascii="Times New Roman" w:hAnsi="Times New Roman"/>
              <w:sz w:val="32"/>
              <w:szCs w:val="32"/>
            </w:rPr>
            <w:t>23</w:t>
          </w:r>
          <w:bookmarkEnd w:id="37"/>
          <w:r>
            <w:rPr>
              <w:rFonts w:ascii="Times New Roman" w:hAnsi="Times New Roman"/>
              <w:sz w:val="32"/>
              <w:szCs w:val="32"/>
            </w:rPr>
            <w:fldChar w:fldCharType="end"/>
          </w:r>
        </w:p>
        <w:p w14:paraId="5D55DA57">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"_Toc1466_WPSOffice_Level3" </w:instrText>
          </w:r>
          <w:r>
            <w:fldChar w:fldCharType="separate"/>
          </w:r>
          <w:r>
            <w:rPr>
              <w:rFonts w:ascii="Times New Roman" w:hAnsi="Times New Roman" w:eastAsia="方正楷体_GBK"/>
              <w:sz w:val="32"/>
              <w:szCs w:val="32"/>
            </w:rPr>
            <w:t>（二）促进市场公平竞争</w:t>
          </w:r>
          <w:r>
            <w:rPr>
              <w:rFonts w:ascii="Times New Roman" w:hAnsi="Times New Roman"/>
              <w:sz w:val="32"/>
              <w:szCs w:val="32"/>
            </w:rPr>
            <w:tab/>
          </w:r>
          <w:bookmarkStart w:id="38" w:name="_Toc1466_WPSOffice_Level3Page"/>
          <w:r>
            <w:rPr>
              <w:rFonts w:ascii="Times New Roman" w:hAnsi="Times New Roman"/>
              <w:sz w:val="32"/>
              <w:szCs w:val="32"/>
            </w:rPr>
            <w:t>26</w:t>
          </w:r>
          <w:bookmarkEnd w:id="38"/>
          <w:r>
            <w:rPr>
              <w:rFonts w:ascii="Times New Roman" w:hAnsi="Times New Roman"/>
              <w:sz w:val="32"/>
              <w:szCs w:val="32"/>
            </w:rPr>
            <w:fldChar w:fldCharType="end"/>
          </w:r>
        </w:p>
        <w:p w14:paraId="428F085E">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"_Toc26234_WPSOffice_Level2" </w:instrText>
          </w:r>
          <w:r>
            <w:fldChar w:fldCharType="separate"/>
          </w:r>
          <w:r>
            <w:rPr>
              <w:rFonts w:ascii="Times New Roman" w:hAnsi="Times New Roman" w:eastAsia="方正黑体_GBK"/>
              <w:sz w:val="32"/>
              <w:szCs w:val="32"/>
            </w:rPr>
            <w:t>三、规范行政执法</w:t>
          </w:r>
          <w:r>
            <w:rPr>
              <w:rFonts w:ascii="Times New Roman" w:hAnsi="Times New Roman"/>
              <w:sz w:val="32"/>
              <w:szCs w:val="32"/>
            </w:rPr>
            <w:tab/>
          </w:r>
          <w:bookmarkStart w:id="39" w:name="_Toc26234_WPSOffice_Level2Page"/>
          <w:r>
            <w:rPr>
              <w:rFonts w:ascii="Times New Roman" w:hAnsi="Times New Roman"/>
              <w:sz w:val="32"/>
              <w:szCs w:val="32"/>
            </w:rPr>
            <w:t>27</w:t>
          </w:r>
          <w:bookmarkEnd w:id="39"/>
          <w:r>
            <w:rPr>
              <w:rFonts w:ascii="Times New Roman" w:hAnsi="Times New Roman"/>
              <w:sz w:val="32"/>
              <w:szCs w:val="32"/>
            </w:rPr>
            <w:fldChar w:fldCharType="end"/>
          </w:r>
        </w:p>
        <w:p w14:paraId="392AC5D5">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"_Toc26234_WPSOffice_Level3" </w:instrText>
          </w:r>
          <w:r>
            <w:fldChar w:fldCharType="separate"/>
          </w:r>
          <w:r>
            <w:rPr>
              <w:rFonts w:ascii="Times New Roman" w:hAnsi="Times New Roman" w:eastAsia="方正楷体_GBK"/>
              <w:sz w:val="32"/>
              <w:szCs w:val="32"/>
            </w:rPr>
            <w:t>（一）加强市场监管法治化、规范化</w:t>
          </w:r>
          <w:r>
            <w:rPr>
              <w:rFonts w:ascii="Times New Roman" w:hAnsi="Times New Roman"/>
              <w:sz w:val="32"/>
              <w:szCs w:val="32"/>
            </w:rPr>
            <w:tab/>
          </w:r>
          <w:bookmarkStart w:id="40" w:name="_Toc26234_WPSOffice_Level3Page"/>
          <w:r>
            <w:rPr>
              <w:rFonts w:ascii="Times New Roman" w:hAnsi="Times New Roman"/>
              <w:sz w:val="32"/>
              <w:szCs w:val="32"/>
            </w:rPr>
            <w:t>27</w:t>
          </w:r>
          <w:bookmarkEnd w:id="40"/>
          <w:r>
            <w:rPr>
              <w:rFonts w:ascii="Times New Roman" w:hAnsi="Times New Roman"/>
              <w:sz w:val="32"/>
              <w:szCs w:val="32"/>
            </w:rPr>
            <w:fldChar w:fldCharType="end"/>
          </w:r>
        </w:p>
        <w:p w14:paraId="1B034BAE">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"_Toc5938_WPSOffice_Level3" </w:instrText>
          </w:r>
          <w:r>
            <w:fldChar w:fldCharType="separate"/>
          </w:r>
          <w:r>
            <w:rPr>
              <w:rFonts w:ascii="Times New Roman" w:hAnsi="Times New Roman" w:eastAsia="方正楷体_GBK"/>
              <w:sz w:val="32"/>
              <w:szCs w:val="32"/>
            </w:rPr>
            <w:t>（二）优化市场监管体制机制</w:t>
          </w:r>
          <w:r>
            <w:rPr>
              <w:rFonts w:ascii="Times New Roman" w:hAnsi="Times New Roman"/>
              <w:sz w:val="32"/>
              <w:szCs w:val="32"/>
            </w:rPr>
            <w:tab/>
          </w:r>
          <w:bookmarkStart w:id="41" w:name="_Toc5938_WPSOffice_Level3Page"/>
          <w:r>
            <w:rPr>
              <w:rFonts w:ascii="Times New Roman" w:hAnsi="Times New Roman"/>
              <w:sz w:val="32"/>
              <w:szCs w:val="32"/>
            </w:rPr>
            <w:t>29</w:t>
          </w:r>
          <w:bookmarkEnd w:id="41"/>
          <w:r>
            <w:rPr>
              <w:rFonts w:ascii="Times New Roman" w:hAnsi="Times New Roman"/>
              <w:sz w:val="32"/>
              <w:szCs w:val="32"/>
            </w:rPr>
            <w:fldChar w:fldCharType="end"/>
          </w:r>
        </w:p>
        <w:p w14:paraId="5811D984">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"_Toc5938_WPSOffice_Level2" </w:instrText>
          </w:r>
          <w:r>
            <w:fldChar w:fldCharType="separate"/>
          </w:r>
          <w:r>
            <w:rPr>
              <w:rFonts w:ascii="Times New Roman" w:hAnsi="Times New Roman" w:eastAsia="方正黑体_GBK"/>
              <w:sz w:val="32"/>
              <w:szCs w:val="32"/>
            </w:rPr>
            <w:t>四、提升服务水平</w:t>
          </w:r>
          <w:r>
            <w:rPr>
              <w:rFonts w:ascii="Times New Roman" w:hAnsi="Times New Roman"/>
              <w:sz w:val="32"/>
              <w:szCs w:val="32"/>
            </w:rPr>
            <w:tab/>
          </w:r>
          <w:bookmarkStart w:id="42" w:name="_Toc5938_WPSOffice_Level2Page"/>
          <w:r>
            <w:rPr>
              <w:rFonts w:ascii="Times New Roman" w:hAnsi="Times New Roman"/>
              <w:sz w:val="32"/>
              <w:szCs w:val="32"/>
            </w:rPr>
            <w:t>30</w:t>
          </w:r>
          <w:bookmarkEnd w:id="42"/>
          <w:r>
            <w:rPr>
              <w:rFonts w:ascii="Times New Roman" w:hAnsi="Times New Roman"/>
              <w:sz w:val="32"/>
              <w:szCs w:val="32"/>
            </w:rPr>
            <w:fldChar w:fldCharType="end"/>
          </w:r>
        </w:p>
        <w:p w14:paraId="76D23492">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"_Toc27666_WPSOffice_Level3" </w:instrText>
          </w:r>
          <w:r>
            <w:fldChar w:fldCharType="separate"/>
          </w:r>
          <w:r>
            <w:rPr>
              <w:rFonts w:ascii="Times New Roman" w:hAnsi="Times New Roman" w:eastAsia="方正楷体_GBK"/>
              <w:sz w:val="32"/>
              <w:szCs w:val="32"/>
            </w:rPr>
            <w:t>（一）加强基层党建引领</w:t>
          </w:r>
          <w:r>
            <w:rPr>
              <w:rFonts w:ascii="Times New Roman" w:hAnsi="Times New Roman"/>
              <w:sz w:val="32"/>
              <w:szCs w:val="32"/>
            </w:rPr>
            <w:tab/>
          </w:r>
          <w:bookmarkStart w:id="43" w:name="_Toc27666_WPSOffice_Level3Page"/>
          <w:r>
            <w:rPr>
              <w:rFonts w:ascii="Times New Roman" w:hAnsi="Times New Roman"/>
              <w:sz w:val="32"/>
              <w:szCs w:val="32"/>
            </w:rPr>
            <w:t>30</w:t>
          </w:r>
          <w:bookmarkEnd w:id="43"/>
          <w:r>
            <w:rPr>
              <w:rFonts w:ascii="Times New Roman" w:hAnsi="Times New Roman"/>
              <w:sz w:val="32"/>
              <w:szCs w:val="32"/>
            </w:rPr>
            <w:fldChar w:fldCharType="end"/>
          </w:r>
        </w:p>
        <w:p w14:paraId="37A0E203">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"_Toc22660_WPSOffice_Level3" </w:instrText>
          </w:r>
          <w:r>
            <w:fldChar w:fldCharType="separate"/>
          </w:r>
          <w:r>
            <w:rPr>
              <w:rFonts w:ascii="Times New Roman" w:hAnsi="Times New Roman" w:eastAsia="方正楷体_GBK"/>
              <w:sz w:val="32"/>
              <w:szCs w:val="32"/>
            </w:rPr>
            <w:t>（二）提升消费维权水平</w:t>
          </w:r>
          <w:r>
            <w:rPr>
              <w:rFonts w:ascii="Times New Roman" w:hAnsi="Times New Roman"/>
              <w:sz w:val="32"/>
              <w:szCs w:val="32"/>
            </w:rPr>
            <w:tab/>
          </w:r>
          <w:bookmarkStart w:id="44" w:name="_Toc22660_WPSOffice_Level3Page"/>
          <w:r>
            <w:rPr>
              <w:rFonts w:ascii="Times New Roman" w:hAnsi="Times New Roman"/>
              <w:sz w:val="32"/>
              <w:szCs w:val="32"/>
            </w:rPr>
            <w:t>30</w:t>
          </w:r>
          <w:bookmarkEnd w:id="44"/>
          <w:r>
            <w:rPr>
              <w:rFonts w:ascii="Times New Roman" w:hAnsi="Times New Roman"/>
              <w:sz w:val="32"/>
              <w:szCs w:val="32"/>
            </w:rPr>
            <w:fldChar w:fldCharType="end"/>
          </w:r>
        </w:p>
        <w:p w14:paraId="3296AC7D">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"_Toc12653_WPSOffice_Level3" </w:instrText>
          </w:r>
          <w:r>
            <w:fldChar w:fldCharType="separate"/>
          </w:r>
          <w:r>
            <w:rPr>
              <w:rFonts w:ascii="Times New Roman" w:hAnsi="Times New Roman" w:eastAsia="方正楷体_GBK"/>
              <w:sz w:val="32"/>
              <w:szCs w:val="32"/>
            </w:rPr>
            <w:t>（三）提升政务服务水平</w:t>
          </w:r>
          <w:r>
            <w:rPr>
              <w:rFonts w:ascii="Times New Roman" w:hAnsi="Times New Roman"/>
              <w:sz w:val="32"/>
              <w:szCs w:val="32"/>
            </w:rPr>
            <w:tab/>
          </w:r>
          <w:bookmarkStart w:id="45" w:name="_Toc12653_WPSOffice_Level3Page"/>
          <w:r>
            <w:rPr>
              <w:rFonts w:ascii="Times New Roman" w:hAnsi="Times New Roman"/>
              <w:sz w:val="32"/>
              <w:szCs w:val="32"/>
            </w:rPr>
            <w:t>30</w:t>
          </w:r>
          <w:bookmarkEnd w:id="45"/>
          <w:r>
            <w:rPr>
              <w:rFonts w:ascii="Times New Roman" w:hAnsi="Times New Roman"/>
              <w:sz w:val="32"/>
              <w:szCs w:val="32"/>
            </w:rPr>
            <w:fldChar w:fldCharType="end"/>
          </w:r>
        </w:p>
        <w:p w14:paraId="1AE76E57">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"_Toc28075_WPSOffice_Level3" </w:instrText>
          </w:r>
          <w:r>
            <w:fldChar w:fldCharType="separate"/>
          </w:r>
          <w:r>
            <w:rPr>
              <w:rFonts w:ascii="Times New Roman" w:hAnsi="Times New Roman" w:eastAsia="方正楷体_GBK"/>
              <w:sz w:val="32"/>
              <w:szCs w:val="32"/>
            </w:rPr>
            <w:t>（四）加大新闻宣传力度</w:t>
          </w:r>
          <w:r>
            <w:rPr>
              <w:rFonts w:ascii="Times New Roman" w:hAnsi="Times New Roman"/>
              <w:sz w:val="32"/>
              <w:szCs w:val="32"/>
            </w:rPr>
            <w:tab/>
          </w:r>
          <w:bookmarkStart w:id="46" w:name="_Toc28075_WPSOffice_Level3Page"/>
          <w:r>
            <w:rPr>
              <w:rFonts w:ascii="Times New Roman" w:hAnsi="Times New Roman"/>
              <w:sz w:val="32"/>
              <w:szCs w:val="32"/>
            </w:rPr>
            <w:t>31</w:t>
          </w:r>
          <w:bookmarkEnd w:id="46"/>
          <w:r>
            <w:rPr>
              <w:rFonts w:ascii="Times New Roman" w:hAnsi="Times New Roman"/>
              <w:sz w:val="32"/>
              <w:szCs w:val="32"/>
            </w:rPr>
            <w:fldChar w:fldCharType="end"/>
          </w:r>
        </w:p>
        <w:p w14:paraId="29C5FBCE">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"_Toc16113_WPSOffice_Level3" </w:instrText>
          </w:r>
          <w:r>
            <w:fldChar w:fldCharType="separate"/>
          </w:r>
          <w:r>
            <w:rPr>
              <w:rFonts w:ascii="Times New Roman" w:hAnsi="Times New Roman" w:eastAsia="方正楷体_GBK"/>
              <w:sz w:val="32"/>
              <w:szCs w:val="32"/>
            </w:rPr>
            <w:t>（五）加大队伍培训力度</w:t>
          </w:r>
          <w:r>
            <w:rPr>
              <w:rFonts w:ascii="Times New Roman" w:hAnsi="Times New Roman"/>
              <w:sz w:val="32"/>
              <w:szCs w:val="32"/>
            </w:rPr>
            <w:tab/>
          </w:r>
          <w:bookmarkStart w:id="47" w:name="_Toc16113_WPSOffice_Level3Page"/>
          <w:r>
            <w:rPr>
              <w:rFonts w:ascii="Times New Roman" w:hAnsi="Times New Roman"/>
              <w:sz w:val="32"/>
              <w:szCs w:val="32"/>
            </w:rPr>
            <w:t>31</w:t>
          </w:r>
          <w:bookmarkEnd w:id="47"/>
          <w:r>
            <w:rPr>
              <w:rFonts w:ascii="Times New Roman" w:hAnsi="Times New Roman"/>
              <w:sz w:val="32"/>
              <w:szCs w:val="32"/>
            </w:rPr>
            <w:fldChar w:fldCharType="end"/>
          </w:r>
        </w:p>
        <w:p w14:paraId="0106EA5A">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"_Toc26697_WPSOffice_Level3" </w:instrText>
          </w:r>
          <w:r>
            <w:fldChar w:fldCharType="separate"/>
          </w:r>
          <w:r>
            <w:rPr>
              <w:rFonts w:ascii="Times New Roman" w:hAnsi="Times New Roman" w:eastAsia="方正楷体_GBK"/>
              <w:sz w:val="32"/>
              <w:szCs w:val="32"/>
            </w:rPr>
            <w:t>（六）提升应急管理能力</w:t>
          </w:r>
          <w:r>
            <w:rPr>
              <w:rFonts w:ascii="Times New Roman" w:hAnsi="Times New Roman"/>
              <w:sz w:val="32"/>
              <w:szCs w:val="32"/>
            </w:rPr>
            <w:tab/>
          </w:r>
          <w:bookmarkStart w:id="48" w:name="_Toc26697_WPSOffice_Level3Page"/>
          <w:r>
            <w:rPr>
              <w:rFonts w:ascii="Times New Roman" w:hAnsi="Times New Roman"/>
              <w:sz w:val="32"/>
              <w:szCs w:val="32"/>
            </w:rPr>
            <w:t>32</w:t>
          </w:r>
          <w:bookmarkEnd w:id="48"/>
          <w:r>
            <w:rPr>
              <w:rFonts w:ascii="Times New Roman" w:hAnsi="Times New Roman"/>
              <w:sz w:val="32"/>
              <w:szCs w:val="32"/>
            </w:rPr>
            <w:fldChar w:fldCharType="end"/>
          </w:r>
        </w:p>
        <w:p w14:paraId="50245359">
          <w:pPr>
            <w:pStyle w:val="43"/>
            <w:tabs>
              <w:tab w:val="right" w:leader="dot" w:pos="8844"/>
            </w:tabs>
            <w:spacing w:line="620" w:lineRule="exact"/>
            <w:rPr>
              <w:rFonts w:ascii="Times New Roman" w:hAnsi="Times New Roman"/>
              <w:sz w:val="32"/>
              <w:szCs w:val="32"/>
            </w:rPr>
          </w:pPr>
          <w:r>
            <w:fldChar w:fldCharType="begin"/>
          </w:r>
          <w:r>
            <w:instrText xml:space="preserve"> HYPERLINK \l "_Toc8924_WPSOffice_Level1" </w:instrText>
          </w:r>
          <w:r>
            <w:fldChar w:fldCharType="separate"/>
          </w:r>
          <w:r>
            <w:rPr>
              <w:rFonts w:ascii="Times New Roman" w:hAnsi="Times New Roman" w:eastAsia="方正小标宋_GBK"/>
              <w:sz w:val="32"/>
              <w:szCs w:val="32"/>
            </w:rPr>
            <w:t>第五部分：实施质量强县</w:t>
          </w:r>
          <w:r>
            <w:rPr>
              <w:rFonts w:ascii="Times New Roman" w:hAnsi="Times New Roman"/>
              <w:sz w:val="32"/>
              <w:szCs w:val="32"/>
            </w:rPr>
            <w:tab/>
          </w:r>
          <w:bookmarkStart w:id="49" w:name="_Toc8924_WPSOffice_Level1Page"/>
          <w:r>
            <w:rPr>
              <w:rFonts w:ascii="Times New Roman" w:hAnsi="Times New Roman"/>
              <w:sz w:val="32"/>
              <w:szCs w:val="32"/>
            </w:rPr>
            <w:t>33</w:t>
          </w:r>
          <w:bookmarkEnd w:id="49"/>
          <w:r>
            <w:rPr>
              <w:rFonts w:ascii="Times New Roman" w:hAnsi="Times New Roman"/>
              <w:sz w:val="32"/>
              <w:szCs w:val="32"/>
            </w:rPr>
            <w:fldChar w:fldCharType="end"/>
          </w:r>
        </w:p>
        <w:p w14:paraId="09FA1D34">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"_Toc27666_WPSOffice_Level2" </w:instrText>
          </w:r>
          <w:r>
            <w:fldChar w:fldCharType="separate"/>
          </w:r>
          <w:r>
            <w:rPr>
              <w:rFonts w:ascii="Times New Roman" w:hAnsi="Times New Roman" w:eastAsia="方正黑体_GBK"/>
              <w:sz w:val="32"/>
              <w:szCs w:val="32"/>
            </w:rPr>
            <w:t>一、全面提升质量水平</w:t>
          </w:r>
          <w:r>
            <w:rPr>
              <w:rFonts w:ascii="Times New Roman" w:hAnsi="Times New Roman"/>
              <w:sz w:val="32"/>
              <w:szCs w:val="32"/>
            </w:rPr>
            <w:tab/>
          </w:r>
          <w:bookmarkStart w:id="50" w:name="_Toc27666_WPSOffice_Level2Page"/>
          <w:r>
            <w:rPr>
              <w:rFonts w:ascii="Times New Roman" w:hAnsi="Times New Roman"/>
              <w:sz w:val="32"/>
              <w:szCs w:val="32"/>
            </w:rPr>
            <w:t>33</w:t>
          </w:r>
          <w:bookmarkEnd w:id="50"/>
          <w:r>
            <w:rPr>
              <w:rFonts w:ascii="Times New Roman" w:hAnsi="Times New Roman"/>
              <w:sz w:val="32"/>
              <w:szCs w:val="32"/>
            </w:rPr>
            <w:fldChar w:fldCharType="end"/>
          </w:r>
        </w:p>
        <w:p w14:paraId="0FB2967D">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"_Toc22660_WPSOffice_Level2" </w:instrText>
          </w:r>
          <w:r>
            <w:fldChar w:fldCharType="separate"/>
          </w:r>
          <w:r>
            <w:rPr>
              <w:rFonts w:ascii="Times New Roman" w:hAnsi="Times New Roman" w:eastAsia="方正黑体_GBK"/>
              <w:sz w:val="32"/>
              <w:szCs w:val="32"/>
            </w:rPr>
            <w:t>二、强化标准推动发展</w:t>
          </w:r>
          <w:r>
            <w:rPr>
              <w:rFonts w:ascii="Times New Roman" w:hAnsi="Times New Roman"/>
              <w:sz w:val="32"/>
              <w:szCs w:val="32"/>
            </w:rPr>
            <w:tab/>
          </w:r>
          <w:bookmarkStart w:id="51" w:name="_Toc22660_WPSOffice_Level2Page"/>
          <w:r>
            <w:rPr>
              <w:rFonts w:ascii="Times New Roman" w:hAnsi="Times New Roman"/>
              <w:sz w:val="32"/>
              <w:szCs w:val="32"/>
            </w:rPr>
            <w:t>34</w:t>
          </w:r>
          <w:bookmarkEnd w:id="51"/>
          <w:r>
            <w:rPr>
              <w:rFonts w:ascii="Times New Roman" w:hAnsi="Times New Roman"/>
              <w:sz w:val="32"/>
              <w:szCs w:val="32"/>
            </w:rPr>
            <w:fldChar w:fldCharType="end"/>
          </w:r>
        </w:p>
        <w:p w14:paraId="683C57EB">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"_Toc18229_WPSOffice_Level3" </w:instrText>
          </w:r>
          <w:r>
            <w:fldChar w:fldCharType="separate"/>
          </w:r>
          <w:r>
            <w:rPr>
              <w:rFonts w:ascii="Times New Roman" w:hAnsi="Times New Roman" w:eastAsia="方正楷体_GBK"/>
              <w:sz w:val="32"/>
              <w:szCs w:val="32"/>
            </w:rPr>
            <w:t>（一）着力构建新型标准体系</w:t>
          </w:r>
          <w:r>
            <w:rPr>
              <w:rFonts w:ascii="Times New Roman" w:hAnsi="Times New Roman"/>
              <w:sz w:val="32"/>
              <w:szCs w:val="32"/>
            </w:rPr>
            <w:tab/>
          </w:r>
          <w:bookmarkStart w:id="52" w:name="_Toc18229_WPSOffice_Level3Page"/>
          <w:r>
            <w:rPr>
              <w:rFonts w:ascii="Times New Roman" w:hAnsi="Times New Roman"/>
              <w:sz w:val="32"/>
              <w:szCs w:val="32"/>
            </w:rPr>
            <w:t>34</w:t>
          </w:r>
          <w:bookmarkEnd w:id="52"/>
          <w:r>
            <w:rPr>
              <w:rFonts w:ascii="Times New Roman" w:hAnsi="Times New Roman"/>
              <w:sz w:val="32"/>
              <w:szCs w:val="32"/>
            </w:rPr>
            <w:fldChar w:fldCharType="end"/>
          </w:r>
        </w:p>
        <w:p w14:paraId="4BF30D56">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"_Toc16969_WPSOffice_Level3" </w:instrText>
          </w:r>
          <w:r>
            <w:fldChar w:fldCharType="separate"/>
          </w:r>
          <w:r>
            <w:rPr>
              <w:rFonts w:ascii="Times New Roman" w:hAnsi="Times New Roman" w:eastAsia="方正楷体_GBK"/>
              <w:sz w:val="32"/>
              <w:szCs w:val="32"/>
            </w:rPr>
            <w:t>（二）努力打造农业标准化</w:t>
          </w:r>
          <w:r>
            <w:rPr>
              <w:rFonts w:ascii="Times New Roman" w:hAnsi="Times New Roman"/>
              <w:sz w:val="32"/>
              <w:szCs w:val="32"/>
            </w:rPr>
            <w:tab/>
          </w:r>
          <w:bookmarkStart w:id="53" w:name="_Toc16969_WPSOffice_Level3Page"/>
          <w:r>
            <w:rPr>
              <w:rFonts w:ascii="Times New Roman" w:hAnsi="Times New Roman"/>
              <w:sz w:val="32"/>
              <w:szCs w:val="32"/>
            </w:rPr>
            <w:t>34</w:t>
          </w:r>
          <w:bookmarkEnd w:id="53"/>
          <w:r>
            <w:rPr>
              <w:rFonts w:ascii="Times New Roman" w:hAnsi="Times New Roman"/>
              <w:sz w:val="32"/>
              <w:szCs w:val="32"/>
            </w:rPr>
            <w:fldChar w:fldCharType="end"/>
          </w:r>
        </w:p>
        <w:p w14:paraId="4C1F2CF9">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"_Toc20339_WPSOffice_Level3" </w:instrText>
          </w:r>
          <w:r>
            <w:fldChar w:fldCharType="separate"/>
          </w:r>
          <w:r>
            <w:rPr>
              <w:rFonts w:ascii="Times New Roman" w:hAnsi="Times New Roman" w:eastAsia="方正楷体_GBK"/>
              <w:sz w:val="32"/>
              <w:szCs w:val="32"/>
            </w:rPr>
            <w:t>（三）持续推进工业标准化</w:t>
          </w:r>
          <w:r>
            <w:rPr>
              <w:rFonts w:ascii="Times New Roman" w:hAnsi="Times New Roman"/>
              <w:sz w:val="32"/>
              <w:szCs w:val="32"/>
            </w:rPr>
            <w:tab/>
          </w:r>
          <w:bookmarkStart w:id="54" w:name="_Toc20339_WPSOffice_Level3Page"/>
          <w:r>
            <w:rPr>
              <w:rFonts w:ascii="Times New Roman" w:hAnsi="Times New Roman"/>
              <w:sz w:val="32"/>
              <w:szCs w:val="32"/>
            </w:rPr>
            <w:t>35</w:t>
          </w:r>
          <w:bookmarkEnd w:id="54"/>
          <w:r>
            <w:rPr>
              <w:rFonts w:ascii="Times New Roman" w:hAnsi="Times New Roman"/>
              <w:sz w:val="32"/>
              <w:szCs w:val="32"/>
            </w:rPr>
            <w:fldChar w:fldCharType="end"/>
          </w:r>
        </w:p>
        <w:p w14:paraId="557779F2">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"_Toc6899_WPSOffice_Level3" </w:instrText>
          </w:r>
          <w:r>
            <w:fldChar w:fldCharType="separate"/>
          </w:r>
          <w:r>
            <w:rPr>
              <w:rFonts w:ascii="Times New Roman" w:hAnsi="Times New Roman" w:eastAsia="方正楷体_GBK"/>
              <w:sz w:val="32"/>
              <w:szCs w:val="32"/>
            </w:rPr>
            <w:t>（四）不断强化服务业标准化</w:t>
          </w:r>
          <w:r>
            <w:rPr>
              <w:rFonts w:ascii="Times New Roman" w:hAnsi="Times New Roman"/>
              <w:sz w:val="32"/>
              <w:szCs w:val="32"/>
            </w:rPr>
            <w:tab/>
          </w:r>
          <w:bookmarkStart w:id="55" w:name="_Toc6899_WPSOffice_Level3Page"/>
          <w:r>
            <w:rPr>
              <w:rFonts w:ascii="Times New Roman" w:hAnsi="Times New Roman"/>
              <w:sz w:val="32"/>
              <w:szCs w:val="32"/>
            </w:rPr>
            <w:t>36</w:t>
          </w:r>
          <w:bookmarkEnd w:id="55"/>
          <w:r>
            <w:rPr>
              <w:rFonts w:ascii="Times New Roman" w:hAnsi="Times New Roman"/>
              <w:sz w:val="32"/>
              <w:szCs w:val="32"/>
            </w:rPr>
            <w:fldChar w:fldCharType="end"/>
          </w:r>
        </w:p>
        <w:p w14:paraId="19343D10">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"_Toc12653_WPSOffice_Level2" </w:instrText>
          </w:r>
          <w:r>
            <w:fldChar w:fldCharType="separate"/>
          </w:r>
          <w:r>
            <w:rPr>
              <w:rFonts w:ascii="Times New Roman" w:hAnsi="Times New Roman" w:eastAsia="方正黑体_GBK"/>
              <w:sz w:val="32"/>
              <w:szCs w:val="32"/>
            </w:rPr>
            <w:t>三、推进计量监管服务</w:t>
          </w:r>
          <w:r>
            <w:rPr>
              <w:rFonts w:ascii="Times New Roman" w:hAnsi="Times New Roman"/>
              <w:sz w:val="32"/>
              <w:szCs w:val="32"/>
            </w:rPr>
            <w:tab/>
          </w:r>
          <w:bookmarkStart w:id="56" w:name="_Toc12653_WPSOffice_Level2Page"/>
          <w:r>
            <w:rPr>
              <w:rFonts w:ascii="Times New Roman" w:hAnsi="Times New Roman"/>
              <w:sz w:val="32"/>
              <w:szCs w:val="32"/>
            </w:rPr>
            <w:t>38</w:t>
          </w:r>
          <w:bookmarkEnd w:id="56"/>
          <w:r>
            <w:rPr>
              <w:rFonts w:ascii="Times New Roman" w:hAnsi="Times New Roman"/>
              <w:sz w:val="32"/>
              <w:szCs w:val="32"/>
            </w:rPr>
            <w:fldChar w:fldCharType="end"/>
          </w:r>
        </w:p>
        <w:p w14:paraId="301D9482">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"_Toc28075_WPSOffice_Level2" </w:instrText>
          </w:r>
          <w:r>
            <w:fldChar w:fldCharType="separate"/>
          </w:r>
          <w:r>
            <w:rPr>
              <w:rFonts w:ascii="Times New Roman" w:hAnsi="Times New Roman" w:eastAsia="方正黑体_GBK"/>
              <w:sz w:val="32"/>
              <w:szCs w:val="32"/>
            </w:rPr>
            <w:t>四、加强认证认可工作</w:t>
          </w:r>
          <w:r>
            <w:rPr>
              <w:rFonts w:ascii="Times New Roman" w:hAnsi="Times New Roman"/>
              <w:sz w:val="32"/>
              <w:szCs w:val="32"/>
            </w:rPr>
            <w:tab/>
          </w:r>
          <w:bookmarkStart w:id="57" w:name="_Toc28075_WPSOffice_Level2Page"/>
          <w:r>
            <w:rPr>
              <w:rFonts w:ascii="Times New Roman" w:hAnsi="Times New Roman"/>
              <w:sz w:val="32"/>
              <w:szCs w:val="32"/>
            </w:rPr>
            <w:t>38</w:t>
          </w:r>
          <w:bookmarkEnd w:id="57"/>
          <w:r>
            <w:rPr>
              <w:rFonts w:ascii="Times New Roman" w:hAnsi="Times New Roman"/>
              <w:sz w:val="32"/>
              <w:szCs w:val="32"/>
            </w:rPr>
            <w:fldChar w:fldCharType="end"/>
          </w:r>
        </w:p>
        <w:p w14:paraId="0774D248">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"_Toc16113_WPSOffice_Level2" </w:instrText>
          </w:r>
          <w:r>
            <w:fldChar w:fldCharType="separate"/>
          </w:r>
          <w:r>
            <w:rPr>
              <w:rFonts w:ascii="Times New Roman" w:hAnsi="Times New Roman" w:eastAsia="方正黑体_GBK"/>
              <w:sz w:val="32"/>
              <w:szCs w:val="32"/>
            </w:rPr>
            <w:t>五、推动广告业高质量发展</w:t>
          </w:r>
          <w:r>
            <w:rPr>
              <w:rFonts w:ascii="Times New Roman" w:hAnsi="Times New Roman"/>
              <w:sz w:val="32"/>
              <w:szCs w:val="32"/>
            </w:rPr>
            <w:tab/>
          </w:r>
          <w:bookmarkStart w:id="58" w:name="_Toc16113_WPSOffice_Level2Page"/>
          <w:r>
            <w:rPr>
              <w:rFonts w:ascii="Times New Roman" w:hAnsi="Times New Roman"/>
              <w:sz w:val="32"/>
              <w:szCs w:val="32"/>
            </w:rPr>
            <w:t>39</w:t>
          </w:r>
          <w:bookmarkEnd w:id="58"/>
          <w:r>
            <w:rPr>
              <w:rFonts w:ascii="Times New Roman" w:hAnsi="Times New Roman"/>
              <w:sz w:val="32"/>
              <w:szCs w:val="32"/>
            </w:rPr>
            <w:fldChar w:fldCharType="end"/>
          </w:r>
        </w:p>
        <w:p w14:paraId="0F8C5B5C">
          <w:pPr>
            <w:pStyle w:val="43"/>
            <w:tabs>
              <w:tab w:val="right" w:leader="dot" w:pos="8844"/>
            </w:tabs>
            <w:spacing w:line="620" w:lineRule="exact"/>
            <w:rPr>
              <w:rFonts w:ascii="Times New Roman" w:hAnsi="Times New Roman"/>
              <w:sz w:val="32"/>
              <w:szCs w:val="32"/>
              <w:highlight w:val="yellow"/>
            </w:rPr>
          </w:pPr>
          <w:r>
            <w:fldChar w:fldCharType="begin"/>
          </w:r>
          <w:r>
            <w:instrText xml:space="preserve"> HYPERLINK \l "_Toc6272_WPSOffice_Level1" </w:instrText>
          </w:r>
          <w:r>
            <w:fldChar w:fldCharType="separate"/>
          </w:r>
          <w:r>
            <w:rPr>
              <w:rFonts w:ascii="Times New Roman" w:hAnsi="Times New Roman" w:eastAsia="方正小标宋_GBK"/>
              <w:sz w:val="32"/>
              <w:szCs w:val="32"/>
              <w:highlight w:val="yellow"/>
            </w:rPr>
            <w:t>第六部分：加强知识产权保护运用</w:t>
          </w:r>
          <w:r>
            <w:rPr>
              <w:rFonts w:ascii="Times New Roman" w:hAnsi="Times New Roman"/>
              <w:sz w:val="32"/>
              <w:szCs w:val="32"/>
              <w:highlight w:val="yellow"/>
            </w:rPr>
            <w:tab/>
          </w:r>
          <w:bookmarkStart w:id="59" w:name="_Toc6272_WPSOffice_Level1Page"/>
          <w:r>
            <w:rPr>
              <w:rFonts w:ascii="Times New Roman" w:hAnsi="Times New Roman"/>
              <w:sz w:val="32"/>
              <w:szCs w:val="32"/>
              <w:highlight w:val="yellow"/>
            </w:rPr>
            <w:t>41</w:t>
          </w:r>
          <w:bookmarkEnd w:id="59"/>
          <w:r>
            <w:rPr>
              <w:rFonts w:ascii="Times New Roman" w:hAnsi="Times New Roman"/>
              <w:sz w:val="32"/>
              <w:szCs w:val="32"/>
              <w:highlight w:val="yellow"/>
            </w:rPr>
            <w:fldChar w:fldCharType="end"/>
          </w:r>
        </w:p>
        <w:p w14:paraId="09F8CF68">
          <w:pPr>
            <w:pStyle w:val="44"/>
            <w:tabs>
              <w:tab w:val="right" w:leader="dot" w:pos="8844"/>
            </w:tabs>
            <w:spacing w:line="620" w:lineRule="exact"/>
            <w:ind w:left="640"/>
            <w:rPr>
              <w:rFonts w:ascii="Times New Roman" w:hAnsi="Times New Roman"/>
              <w:sz w:val="32"/>
              <w:szCs w:val="32"/>
              <w:highlight w:val="yellow"/>
            </w:rPr>
          </w:pPr>
          <w:r>
            <w:fldChar w:fldCharType="begin"/>
          </w:r>
          <w:r>
            <w:instrText xml:space="preserve"> HYPERLINK \l "_Toc26697_WPSOffice_Level2" </w:instrText>
          </w:r>
          <w:r>
            <w:fldChar w:fldCharType="separate"/>
          </w:r>
          <w:r>
            <w:rPr>
              <w:rFonts w:ascii="Times New Roman" w:hAnsi="Times New Roman" w:eastAsia="方正黑体_GBK"/>
              <w:sz w:val="32"/>
              <w:szCs w:val="32"/>
              <w:highlight w:val="yellow"/>
            </w:rPr>
            <w:t>一、加大知识产权保护力度</w:t>
          </w:r>
          <w:r>
            <w:rPr>
              <w:rFonts w:ascii="Times New Roman" w:hAnsi="Times New Roman"/>
              <w:sz w:val="32"/>
              <w:szCs w:val="32"/>
              <w:highlight w:val="yellow"/>
            </w:rPr>
            <w:tab/>
          </w:r>
          <w:bookmarkStart w:id="60" w:name="_Toc26697_WPSOffice_Level2Page"/>
          <w:r>
            <w:rPr>
              <w:rFonts w:ascii="Times New Roman" w:hAnsi="Times New Roman"/>
              <w:sz w:val="32"/>
              <w:szCs w:val="32"/>
              <w:highlight w:val="yellow"/>
            </w:rPr>
            <w:t>41</w:t>
          </w:r>
          <w:bookmarkEnd w:id="60"/>
          <w:r>
            <w:rPr>
              <w:rFonts w:ascii="Times New Roman" w:hAnsi="Times New Roman"/>
              <w:sz w:val="32"/>
              <w:szCs w:val="32"/>
              <w:highlight w:val="yellow"/>
            </w:rPr>
            <w:fldChar w:fldCharType="end"/>
          </w:r>
        </w:p>
        <w:p w14:paraId="3724DCDF">
          <w:pPr>
            <w:pStyle w:val="44"/>
            <w:tabs>
              <w:tab w:val="right" w:leader="dot" w:pos="8844"/>
            </w:tabs>
            <w:spacing w:line="620" w:lineRule="exact"/>
            <w:ind w:left="640"/>
            <w:rPr>
              <w:rFonts w:ascii="Times New Roman" w:hAnsi="Times New Roman"/>
              <w:sz w:val="32"/>
              <w:szCs w:val="32"/>
              <w:highlight w:val="yellow"/>
            </w:rPr>
          </w:pPr>
          <w:r>
            <w:fldChar w:fldCharType="begin"/>
          </w:r>
          <w:r>
            <w:instrText xml:space="preserve"> HYPERLINK \l "_Toc18229_WPSOffice_Level2" </w:instrText>
          </w:r>
          <w:r>
            <w:fldChar w:fldCharType="separate"/>
          </w:r>
          <w:r>
            <w:rPr>
              <w:rFonts w:ascii="Times New Roman" w:hAnsi="Times New Roman" w:eastAsia="方正黑体_GBK"/>
              <w:sz w:val="32"/>
              <w:szCs w:val="32"/>
              <w:highlight w:val="yellow"/>
            </w:rPr>
            <w:t>二、完善知识产权创造机制</w:t>
          </w:r>
          <w:r>
            <w:rPr>
              <w:rFonts w:ascii="Times New Roman" w:hAnsi="Times New Roman"/>
              <w:sz w:val="32"/>
              <w:szCs w:val="32"/>
              <w:highlight w:val="yellow"/>
            </w:rPr>
            <w:tab/>
          </w:r>
          <w:bookmarkStart w:id="61" w:name="_Toc18229_WPSOffice_Level2Page"/>
          <w:r>
            <w:rPr>
              <w:rFonts w:ascii="Times New Roman" w:hAnsi="Times New Roman"/>
              <w:sz w:val="32"/>
              <w:szCs w:val="32"/>
              <w:highlight w:val="yellow"/>
            </w:rPr>
            <w:t>41</w:t>
          </w:r>
          <w:bookmarkEnd w:id="61"/>
          <w:r>
            <w:rPr>
              <w:rFonts w:ascii="Times New Roman" w:hAnsi="Times New Roman"/>
              <w:sz w:val="32"/>
              <w:szCs w:val="32"/>
              <w:highlight w:val="yellow"/>
            </w:rPr>
            <w:fldChar w:fldCharType="end"/>
          </w:r>
        </w:p>
        <w:p w14:paraId="48DD248F">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"_Toc16969_WPSOffice_Level2" </w:instrText>
          </w:r>
          <w:r>
            <w:fldChar w:fldCharType="separate"/>
          </w:r>
          <w:r>
            <w:rPr>
              <w:rFonts w:ascii="Times New Roman" w:hAnsi="Times New Roman" w:eastAsia="方正黑体_GBK"/>
              <w:sz w:val="32"/>
              <w:szCs w:val="32"/>
              <w:highlight w:val="yellow"/>
            </w:rPr>
            <w:t>三、提升知识产权运用效能</w:t>
          </w:r>
          <w:r>
            <w:rPr>
              <w:rFonts w:ascii="Times New Roman" w:hAnsi="Times New Roman"/>
              <w:sz w:val="32"/>
              <w:szCs w:val="32"/>
              <w:highlight w:val="yellow"/>
            </w:rPr>
            <w:tab/>
          </w:r>
          <w:bookmarkStart w:id="62" w:name="_Toc16969_WPSOffice_Level2Page"/>
          <w:r>
            <w:rPr>
              <w:rFonts w:ascii="Times New Roman" w:hAnsi="Times New Roman"/>
              <w:sz w:val="32"/>
              <w:szCs w:val="32"/>
              <w:highlight w:val="yellow"/>
            </w:rPr>
            <w:t>42</w:t>
          </w:r>
          <w:bookmarkEnd w:id="62"/>
          <w:r>
            <w:rPr>
              <w:rFonts w:ascii="Times New Roman" w:hAnsi="Times New Roman"/>
              <w:sz w:val="32"/>
              <w:szCs w:val="32"/>
              <w:highlight w:val="yellow"/>
            </w:rPr>
            <w:fldChar w:fldCharType="end"/>
          </w:r>
        </w:p>
        <w:p w14:paraId="2DFC1A80">
          <w:pPr>
            <w:pStyle w:val="44"/>
            <w:tabs>
              <w:tab w:val="right" w:leader="dot" w:pos="8844"/>
            </w:tabs>
            <w:spacing w:line="620" w:lineRule="exact"/>
            <w:ind w:left="640"/>
            <w:rPr>
              <w:rFonts w:ascii="Times New Roman" w:hAnsi="Times New Roman"/>
              <w:sz w:val="32"/>
              <w:szCs w:val="32"/>
              <w:highlight w:val="yellow"/>
            </w:rPr>
          </w:pPr>
          <w:r>
            <w:fldChar w:fldCharType="begin"/>
          </w:r>
          <w:r>
            <w:instrText xml:space="preserve"> HYPERLINK \l "_Toc20339_WPSOffice_Level2" </w:instrText>
          </w:r>
          <w:r>
            <w:fldChar w:fldCharType="separate"/>
          </w:r>
          <w:r>
            <w:rPr>
              <w:rFonts w:ascii="Times New Roman" w:hAnsi="Times New Roman" w:eastAsia="方正黑体_GBK"/>
              <w:sz w:val="32"/>
              <w:szCs w:val="32"/>
              <w:highlight w:val="yellow"/>
            </w:rPr>
            <w:t>四、健全知识产权服务体系</w:t>
          </w:r>
          <w:r>
            <w:rPr>
              <w:rFonts w:ascii="Times New Roman" w:hAnsi="Times New Roman"/>
              <w:sz w:val="32"/>
              <w:szCs w:val="32"/>
              <w:highlight w:val="yellow"/>
            </w:rPr>
            <w:tab/>
          </w:r>
          <w:bookmarkStart w:id="63" w:name="_Toc20339_WPSOffice_Level2Page"/>
          <w:r>
            <w:rPr>
              <w:rFonts w:ascii="Times New Roman" w:hAnsi="Times New Roman"/>
              <w:sz w:val="32"/>
              <w:szCs w:val="32"/>
              <w:highlight w:val="yellow"/>
            </w:rPr>
            <w:t>43</w:t>
          </w:r>
          <w:bookmarkEnd w:id="63"/>
          <w:r>
            <w:rPr>
              <w:rFonts w:ascii="Times New Roman" w:hAnsi="Times New Roman"/>
              <w:sz w:val="32"/>
              <w:szCs w:val="32"/>
              <w:highlight w:val="yellow"/>
            </w:rPr>
            <w:fldChar w:fldCharType="end"/>
          </w:r>
        </w:p>
        <w:p w14:paraId="08B3BBC5">
          <w:pPr>
            <w:pStyle w:val="44"/>
            <w:tabs>
              <w:tab w:val="right" w:leader="dot" w:pos="8844"/>
            </w:tabs>
            <w:spacing w:line="620" w:lineRule="exact"/>
            <w:ind w:left="640"/>
            <w:rPr>
              <w:rFonts w:ascii="Times New Roman" w:hAnsi="Times New Roman"/>
              <w:sz w:val="32"/>
              <w:szCs w:val="32"/>
              <w:highlight w:val="yellow"/>
            </w:rPr>
          </w:pPr>
          <w:r>
            <w:fldChar w:fldCharType="begin"/>
          </w:r>
          <w:r>
            <w:instrText xml:space="preserve"> HYPERLINK \l "_Toc6899_WPSOffice_Level2" </w:instrText>
          </w:r>
          <w:r>
            <w:fldChar w:fldCharType="separate"/>
          </w:r>
          <w:r>
            <w:rPr>
              <w:rFonts w:ascii="Times New Roman" w:hAnsi="Times New Roman" w:eastAsia="方正黑体_GBK"/>
              <w:sz w:val="32"/>
              <w:szCs w:val="32"/>
              <w:highlight w:val="yellow"/>
            </w:rPr>
            <w:t>五、扎实推进商标品牌建设</w:t>
          </w:r>
          <w:r>
            <w:rPr>
              <w:rFonts w:ascii="Times New Roman" w:hAnsi="Times New Roman"/>
              <w:sz w:val="32"/>
              <w:szCs w:val="32"/>
              <w:highlight w:val="yellow"/>
            </w:rPr>
            <w:tab/>
          </w:r>
          <w:bookmarkStart w:id="64" w:name="_Toc6899_WPSOffice_Level2Page"/>
          <w:r>
            <w:rPr>
              <w:rFonts w:ascii="Times New Roman" w:hAnsi="Times New Roman"/>
              <w:sz w:val="32"/>
              <w:szCs w:val="32"/>
              <w:highlight w:val="yellow"/>
            </w:rPr>
            <w:t>43</w:t>
          </w:r>
          <w:bookmarkEnd w:id="64"/>
          <w:r>
            <w:rPr>
              <w:rFonts w:ascii="Times New Roman" w:hAnsi="Times New Roman"/>
              <w:sz w:val="32"/>
              <w:szCs w:val="32"/>
              <w:highlight w:val="yellow"/>
            </w:rPr>
            <w:fldChar w:fldCharType="end"/>
          </w:r>
        </w:p>
        <w:p w14:paraId="2C1A3E62">
          <w:pPr>
            <w:pStyle w:val="45"/>
            <w:tabs>
              <w:tab w:val="right" w:leader="dot" w:pos="8844"/>
            </w:tabs>
            <w:spacing w:line="620" w:lineRule="exact"/>
            <w:ind w:left="1280"/>
            <w:rPr>
              <w:rFonts w:ascii="Times New Roman" w:hAnsi="Times New Roman"/>
              <w:sz w:val="32"/>
              <w:szCs w:val="32"/>
              <w:highlight w:val="yellow"/>
            </w:rPr>
          </w:pPr>
          <w:r>
            <w:fldChar w:fldCharType="begin"/>
          </w:r>
          <w:r>
            <w:instrText xml:space="preserve"> HYPERLINK \l "_Toc21735_WPSOffice_Level3" </w:instrText>
          </w:r>
          <w:r>
            <w:fldChar w:fldCharType="separate"/>
          </w:r>
          <w:r>
            <w:rPr>
              <w:rFonts w:ascii="Times New Roman" w:hAnsi="Times New Roman" w:eastAsia="方正楷体_GBK"/>
              <w:sz w:val="32"/>
              <w:szCs w:val="32"/>
              <w:highlight w:val="yellow"/>
            </w:rPr>
            <w:t>（一）实施商标品牌培育计划</w:t>
          </w:r>
          <w:r>
            <w:rPr>
              <w:rFonts w:ascii="Times New Roman" w:hAnsi="Times New Roman"/>
              <w:sz w:val="32"/>
              <w:szCs w:val="32"/>
              <w:highlight w:val="yellow"/>
            </w:rPr>
            <w:tab/>
          </w:r>
          <w:bookmarkStart w:id="65" w:name="_Toc21735_WPSOffice_Level3Page"/>
          <w:r>
            <w:rPr>
              <w:rFonts w:ascii="Times New Roman" w:hAnsi="Times New Roman"/>
              <w:sz w:val="32"/>
              <w:szCs w:val="32"/>
              <w:highlight w:val="yellow"/>
            </w:rPr>
            <w:t>43</w:t>
          </w:r>
          <w:bookmarkEnd w:id="65"/>
          <w:r>
            <w:rPr>
              <w:rFonts w:ascii="Times New Roman" w:hAnsi="Times New Roman"/>
              <w:sz w:val="32"/>
              <w:szCs w:val="32"/>
              <w:highlight w:val="yellow"/>
            </w:rPr>
            <w:fldChar w:fldCharType="end"/>
          </w:r>
        </w:p>
        <w:p w14:paraId="3819F66E">
          <w:pPr>
            <w:pStyle w:val="45"/>
            <w:tabs>
              <w:tab w:val="right" w:leader="dot" w:pos="8844"/>
            </w:tabs>
            <w:spacing w:line="620" w:lineRule="exact"/>
            <w:ind w:left="1280"/>
            <w:rPr>
              <w:rFonts w:ascii="Times New Roman" w:hAnsi="Times New Roman"/>
              <w:sz w:val="32"/>
              <w:szCs w:val="32"/>
              <w:highlight w:val="yellow"/>
            </w:rPr>
          </w:pPr>
          <w:r>
            <w:fldChar w:fldCharType="begin"/>
          </w:r>
          <w:r>
            <w:instrText xml:space="preserve"> HYPERLINK \l "_Toc12641_WPSOffice_Level3" </w:instrText>
          </w:r>
          <w:r>
            <w:fldChar w:fldCharType="separate"/>
          </w:r>
          <w:r>
            <w:rPr>
              <w:rFonts w:ascii="Times New Roman" w:hAnsi="Times New Roman" w:eastAsia="方正楷体_GBK"/>
              <w:sz w:val="32"/>
              <w:szCs w:val="32"/>
              <w:highlight w:val="yellow"/>
            </w:rPr>
            <w:t>（二）实施商标品牌推广行动</w:t>
          </w:r>
          <w:r>
            <w:rPr>
              <w:rFonts w:ascii="Times New Roman" w:hAnsi="Times New Roman"/>
              <w:sz w:val="32"/>
              <w:szCs w:val="32"/>
              <w:highlight w:val="yellow"/>
            </w:rPr>
            <w:tab/>
          </w:r>
          <w:bookmarkStart w:id="66" w:name="_Toc12641_WPSOffice_Level3Page"/>
          <w:r>
            <w:rPr>
              <w:rFonts w:ascii="Times New Roman" w:hAnsi="Times New Roman"/>
              <w:sz w:val="32"/>
              <w:szCs w:val="32"/>
              <w:highlight w:val="yellow"/>
            </w:rPr>
            <w:t>43</w:t>
          </w:r>
          <w:bookmarkEnd w:id="66"/>
          <w:r>
            <w:rPr>
              <w:rFonts w:ascii="Times New Roman" w:hAnsi="Times New Roman"/>
              <w:sz w:val="32"/>
              <w:szCs w:val="32"/>
              <w:highlight w:val="yellow"/>
            </w:rPr>
            <w:fldChar w:fldCharType="end"/>
          </w:r>
        </w:p>
        <w:p w14:paraId="26C83AC1">
          <w:pPr>
            <w:pStyle w:val="45"/>
            <w:tabs>
              <w:tab w:val="right" w:leader="dot" w:pos="8844"/>
            </w:tabs>
            <w:spacing w:line="620" w:lineRule="exact"/>
            <w:ind w:left="1280"/>
            <w:rPr>
              <w:rFonts w:ascii="Times New Roman" w:hAnsi="Times New Roman"/>
              <w:sz w:val="32"/>
              <w:szCs w:val="32"/>
            </w:rPr>
          </w:pPr>
          <w:r>
            <w:fldChar w:fldCharType="begin"/>
          </w:r>
          <w:r>
            <w:instrText xml:space="preserve"> HYPERLINK \l "_Toc7656_WPSOffice_Level3" </w:instrText>
          </w:r>
          <w:r>
            <w:fldChar w:fldCharType="separate"/>
          </w:r>
          <w:r>
            <w:rPr>
              <w:rFonts w:ascii="Times New Roman" w:hAnsi="Times New Roman" w:eastAsia="方正楷体_GBK"/>
              <w:sz w:val="32"/>
              <w:szCs w:val="32"/>
              <w:highlight w:val="yellow"/>
            </w:rPr>
            <w:t>（三）实施商标品牌服务行动</w:t>
          </w:r>
          <w:r>
            <w:rPr>
              <w:rFonts w:ascii="Times New Roman" w:hAnsi="Times New Roman"/>
              <w:sz w:val="32"/>
              <w:szCs w:val="32"/>
              <w:highlight w:val="yellow"/>
            </w:rPr>
            <w:tab/>
          </w:r>
          <w:bookmarkStart w:id="67" w:name="_Toc7656_WPSOffice_Level3Page"/>
          <w:r>
            <w:rPr>
              <w:rFonts w:ascii="Times New Roman" w:hAnsi="Times New Roman"/>
              <w:sz w:val="32"/>
              <w:szCs w:val="32"/>
              <w:highlight w:val="yellow"/>
            </w:rPr>
            <w:t>44</w:t>
          </w:r>
          <w:bookmarkEnd w:id="67"/>
          <w:r>
            <w:rPr>
              <w:rFonts w:ascii="Times New Roman" w:hAnsi="Times New Roman"/>
              <w:sz w:val="32"/>
              <w:szCs w:val="32"/>
              <w:highlight w:val="yellow"/>
            </w:rPr>
            <w:fldChar w:fldCharType="end"/>
          </w:r>
        </w:p>
        <w:p w14:paraId="544610D9">
          <w:pPr>
            <w:pStyle w:val="43"/>
            <w:tabs>
              <w:tab w:val="right" w:leader="dot" w:pos="8844"/>
            </w:tabs>
            <w:spacing w:line="620" w:lineRule="exact"/>
            <w:rPr>
              <w:rFonts w:ascii="Times New Roman" w:hAnsi="Times New Roman"/>
              <w:sz w:val="32"/>
              <w:szCs w:val="32"/>
            </w:rPr>
          </w:pPr>
          <w:r>
            <w:fldChar w:fldCharType="begin"/>
          </w:r>
          <w:r>
            <w:instrText xml:space="preserve"> HYPERLINK \l "_Toc23362_WPSOffice_Level1" </w:instrText>
          </w:r>
          <w:r>
            <w:fldChar w:fldCharType="separate"/>
          </w:r>
          <w:r>
            <w:rPr>
              <w:rFonts w:ascii="Times New Roman" w:hAnsi="Times New Roman" w:eastAsia="方正小标宋_GBK"/>
              <w:sz w:val="32"/>
              <w:szCs w:val="32"/>
            </w:rPr>
            <w:t>第七部分：纵深拓展聚力重点项目</w:t>
          </w:r>
          <w:r>
            <w:rPr>
              <w:rFonts w:ascii="Times New Roman" w:hAnsi="Times New Roman"/>
              <w:sz w:val="32"/>
              <w:szCs w:val="32"/>
            </w:rPr>
            <w:tab/>
          </w:r>
          <w:bookmarkStart w:id="68" w:name="_Toc23362_WPSOffice_Level1Page"/>
          <w:r>
            <w:rPr>
              <w:rFonts w:ascii="Times New Roman" w:hAnsi="Times New Roman"/>
              <w:sz w:val="32"/>
              <w:szCs w:val="32"/>
            </w:rPr>
            <w:t>45</w:t>
          </w:r>
          <w:bookmarkEnd w:id="68"/>
          <w:r>
            <w:rPr>
              <w:rFonts w:ascii="Times New Roman" w:hAnsi="Times New Roman"/>
              <w:sz w:val="32"/>
              <w:szCs w:val="32"/>
            </w:rPr>
            <w:fldChar w:fldCharType="end"/>
          </w:r>
        </w:p>
        <w:p w14:paraId="32D16702">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"_Toc21735_WPSOffice_Level2" </w:instrText>
          </w:r>
          <w:r>
            <w:fldChar w:fldCharType="separate"/>
          </w:r>
          <w:r>
            <w:rPr>
              <w:rFonts w:ascii="Times New Roman" w:hAnsi="Times New Roman" w:eastAsia="方正黑体_GBK"/>
              <w:sz w:val="32"/>
              <w:szCs w:val="32"/>
            </w:rPr>
            <w:t>一、创建国家食品安全示范城市</w:t>
          </w:r>
          <w:r>
            <w:rPr>
              <w:rFonts w:ascii="Times New Roman" w:hAnsi="Times New Roman"/>
              <w:sz w:val="32"/>
              <w:szCs w:val="32"/>
            </w:rPr>
            <w:tab/>
          </w:r>
          <w:bookmarkStart w:id="69" w:name="_Toc21735_WPSOffice_Level2Page"/>
          <w:r>
            <w:rPr>
              <w:rFonts w:ascii="Times New Roman" w:hAnsi="Times New Roman"/>
              <w:sz w:val="32"/>
              <w:szCs w:val="32"/>
            </w:rPr>
            <w:t>45</w:t>
          </w:r>
          <w:bookmarkEnd w:id="69"/>
          <w:r>
            <w:rPr>
              <w:rFonts w:ascii="Times New Roman" w:hAnsi="Times New Roman"/>
              <w:sz w:val="32"/>
              <w:szCs w:val="32"/>
            </w:rPr>
            <w:fldChar w:fldCharType="end"/>
          </w:r>
        </w:p>
        <w:p w14:paraId="43007664">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"_Toc12641_WPSOffice_Level2" </w:instrText>
          </w:r>
          <w:r>
            <w:fldChar w:fldCharType="separate"/>
          </w:r>
          <w:r>
            <w:rPr>
              <w:rFonts w:ascii="Times New Roman" w:hAnsi="Times New Roman" w:eastAsia="方正黑体_GBK"/>
              <w:sz w:val="32"/>
              <w:szCs w:val="32"/>
            </w:rPr>
            <w:t>二、市场监管标准化建设</w:t>
          </w:r>
          <w:r>
            <w:rPr>
              <w:rFonts w:ascii="Times New Roman" w:hAnsi="Times New Roman"/>
              <w:sz w:val="32"/>
              <w:szCs w:val="32"/>
            </w:rPr>
            <w:tab/>
          </w:r>
          <w:bookmarkStart w:id="70" w:name="_Toc12641_WPSOffice_Level2Page"/>
          <w:r>
            <w:rPr>
              <w:rFonts w:ascii="Times New Roman" w:hAnsi="Times New Roman"/>
              <w:sz w:val="32"/>
              <w:szCs w:val="32"/>
            </w:rPr>
            <w:t>46</w:t>
          </w:r>
          <w:bookmarkEnd w:id="70"/>
          <w:r>
            <w:rPr>
              <w:rFonts w:ascii="Times New Roman" w:hAnsi="Times New Roman"/>
              <w:sz w:val="32"/>
              <w:szCs w:val="32"/>
            </w:rPr>
            <w:fldChar w:fldCharType="end"/>
          </w:r>
        </w:p>
        <w:p w14:paraId="3C7C2A92">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"_Toc7656_WPSOffice_Level2" </w:instrText>
          </w:r>
          <w:r>
            <w:fldChar w:fldCharType="separate"/>
          </w:r>
          <w:r>
            <w:rPr>
              <w:rFonts w:ascii="Times New Roman" w:hAnsi="Times New Roman" w:eastAsia="方正黑体_GBK"/>
              <w:sz w:val="32"/>
              <w:szCs w:val="32"/>
            </w:rPr>
            <w:t>三、基层市场监管所建设</w:t>
          </w:r>
          <w:r>
            <w:rPr>
              <w:rFonts w:ascii="Times New Roman" w:hAnsi="Times New Roman"/>
              <w:sz w:val="32"/>
              <w:szCs w:val="32"/>
            </w:rPr>
            <w:tab/>
          </w:r>
          <w:bookmarkStart w:id="71" w:name="_Toc7656_WPSOffice_Level2Page"/>
          <w:r>
            <w:rPr>
              <w:rFonts w:ascii="Times New Roman" w:hAnsi="Times New Roman"/>
              <w:sz w:val="32"/>
              <w:szCs w:val="32"/>
            </w:rPr>
            <w:t>47</w:t>
          </w:r>
          <w:bookmarkEnd w:id="71"/>
          <w:r>
            <w:rPr>
              <w:rFonts w:ascii="Times New Roman" w:hAnsi="Times New Roman"/>
              <w:sz w:val="32"/>
              <w:szCs w:val="32"/>
            </w:rPr>
            <w:fldChar w:fldCharType="end"/>
          </w:r>
        </w:p>
        <w:p w14:paraId="487E4E8A">
          <w:pPr>
            <w:pStyle w:val="43"/>
            <w:tabs>
              <w:tab w:val="right" w:leader="dot" w:pos="8844"/>
            </w:tabs>
            <w:spacing w:line="620" w:lineRule="exact"/>
            <w:rPr>
              <w:rFonts w:ascii="Times New Roman" w:hAnsi="Times New Roman"/>
              <w:sz w:val="32"/>
              <w:szCs w:val="32"/>
            </w:rPr>
          </w:pPr>
          <w:r>
            <w:fldChar w:fldCharType="begin"/>
          </w:r>
          <w:r>
            <w:instrText xml:space="preserve"> HYPERLINK \l "_Toc11869_WPSOffice_Level1" </w:instrText>
          </w:r>
          <w:r>
            <w:fldChar w:fldCharType="separate"/>
          </w:r>
          <w:r>
            <w:rPr>
              <w:rFonts w:ascii="Times New Roman" w:hAnsi="Times New Roman" w:eastAsia="方正小标宋_GBK"/>
              <w:sz w:val="32"/>
              <w:szCs w:val="32"/>
            </w:rPr>
            <w:t>第八部分：强化保障夯实发展基础</w:t>
          </w:r>
          <w:r>
            <w:rPr>
              <w:rFonts w:ascii="Times New Roman" w:hAnsi="Times New Roman"/>
              <w:sz w:val="32"/>
              <w:szCs w:val="32"/>
            </w:rPr>
            <w:tab/>
          </w:r>
          <w:bookmarkStart w:id="72" w:name="_Toc11869_WPSOffice_Level1Page"/>
          <w:r>
            <w:rPr>
              <w:rFonts w:ascii="Times New Roman" w:hAnsi="Times New Roman"/>
              <w:sz w:val="32"/>
              <w:szCs w:val="32"/>
            </w:rPr>
            <w:t>48</w:t>
          </w:r>
          <w:bookmarkEnd w:id="72"/>
          <w:r>
            <w:rPr>
              <w:rFonts w:ascii="Times New Roman" w:hAnsi="Times New Roman"/>
              <w:sz w:val="32"/>
              <w:szCs w:val="32"/>
            </w:rPr>
            <w:fldChar w:fldCharType="end"/>
          </w:r>
        </w:p>
        <w:p w14:paraId="04157756">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"_Toc12193_WPSOffice_Level2" </w:instrText>
          </w:r>
          <w:r>
            <w:fldChar w:fldCharType="separate"/>
          </w:r>
          <w:r>
            <w:rPr>
              <w:rFonts w:ascii="Times New Roman" w:hAnsi="Times New Roman" w:eastAsia="方正黑体_GBK"/>
              <w:sz w:val="32"/>
              <w:szCs w:val="32"/>
            </w:rPr>
            <w:t>一、健全制度完善机制</w:t>
          </w:r>
          <w:r>
            <w:rPr>
              <w:rFonts w:ascii="Times New Roman" w:hAnsi="Times New Roman"/>
              <w:sz w:val="32"/>
              <w:szCs w:val="32"/>
            </w:rPr>
            <w:tab/>
          </w:r>
          <w:bookmarkStart w:id="73" w:name="_Toc12193_WPSOffice_Level2Page"/>
          <w:r>
            <w:rPr>
              <w:rFonts w:ascii="Times New Roman" w:hAnsi="Times New Roman"/>
              <w:sz w:val="32"/>
              <w:szCs w:val="32"/>
            </w:rPr>
            <w:t>48</w:t>
          </w:r>
          <w:bookmarkEnd w:id="73"/>
          <w:r>
            <w:rPr>
              <w:rFonts w:ascii="Times New Roman" w:hAnsi="Times New Roman"/>
              <w:sz w:val="32"/>
              <w:szCs w:val="32"/>
            </w:rPr>
            <w:fldChar w:fldCharType="end"/>
          </w:r>
        </w:p>
        <w:p w14:paraId="51814FC0">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"_Toc7416_WPSOffice_Level2" </w:instrText>
          </w:r>
          <w:r>
            <w:fldChar w:fldCharType="separate"/>
          </w:r>
          <w:r>
            <w:rPr>
              <w:rFonts w:ascii="Times New Roman" w:hAnsi="Times New Roman" w:eastAsia="方正黑体_GBK"/>
              <w:sz w:val="32"/>
              <w:szCs w:val="32"/>
            </w:rPr>
            <w:t>二、综合执法改革到位</w:t>
          </w:r>
          <w:r>
            <w:rPr>
              <w:rFonts w:ascii="Times New Roman" w:hAnsi="Times New Roman"/>
              <w:sz w:val="32"/>
              <w:szCs w:val="32"/>
            </w:rPr>
            <w:tab/>
          </w:r>
          <w:bookmarkStart w:id="74" w:name="_Toc7416_WPSOffice_Level2Page"/>
          <w:r>
            <w:rPr>
              <w:rFonts w:ascii="Times New Roman" w:hAnsi="Times New Roman"/>
              <w:sz w:val="32"/>
              <w:szCs w:val="32"/>
            </w:rPr>
            <w:t>48</w:t>
          </w:r>
          <w:bookmarkEnd w:id="74"/>
          <w:r>
            <w:rPr>
              <w:rFonts w:ascii="Times New Roman" w:hAnsi="Times New Roman"/>
              <w:sz w:val="32"/>
              <w:szCs w:val="32"/>
            </w:rPr>
            <w:fldChar w:fldCharType="end"/>
          </w:r>
        </w:p>
        <w:p w14:paraId="6C5F8021">
          <w:pPr>
            <w:pStyle w:val="44"/>
            <w:tabs>
              <w:tab w:val="right" w:leader="dot" w:pos="8844"/>
            </w:tabs>
            <w:spacing w:line="620" w:lineRule="exact"/>
            <w:ind w:left="640"/>
            <w:rPr>
              <w:rFonts w:ascii="Times New Roman" w:hAnsi="Times New Roman"/>
              <w:sz w:val="32"/>
              <w:szCs w:val="32"/>
            </w:rPr>
          </w:pPr>
          <w:r>
            <w:fldChar w:fldCharType="begin"/>
          </w:r>
          <w:r>
            <w:instrText xml:space="preserve"> HYPERLINK \l "_Toc13341_WPSOffice_Level2" </w:instrText>
          </w:r>
          <w:r>
            <w:fldChar w:fldCharType="separate"/>
          </w:r>
          <w:r>
            <w:rPr>
              <w:rFonts w:ascii="Times New Roman" w:hAnsi="Times New Roman" w:eastAsia="方正黑体_GBK"/>
              <w:sz w:val="32"/>
              <w:szCs w:val="32"/>
            </w:rPr>
            <w:t>三、基层队伍能力建设</w:t>
          </w:r>
          <w:r>
            <w:rPr>
              <w:rFonts w:ascii="Times New Roman" w:hAnsi="Times New Roman"/>
              <w:sz w:val="32"/>
              <w:szCs w:val="32"/>
            </w:rPr>
            <w:tab/>
          </w:r>
          <w:bookmarkStart w:id="75" w:name="_Toc13341_WPSOffice_Level2Page"/>
          <w:r>
            <w:rPr>
              <w:rFonts w:ascii="Times New Roman" w:hAnsi="Times New Roman"/>
              <w:sz w:val="32"/>
              <w:szCs w:val="32"/>
            </w:rPr>
            <w:t>48</w:t>
          </w:r>
          <w:bookmarkEnd w:id="75"/>
          <w:r>
            <w:rPr>
              <w:rFonts w:ascii="Times New Roman" w:hAnsi="Times New Roman"/>
              <w:sz w:val="32"/>
              <w:szCs w:val="32"/>
            </w:rPr>
            <w:fldChar w:fldCharType="end"/>
          </w:r>
        </w:p>
        <w:p w14:paraId="22E16033">
          <w:pPr>
            <w:pStyle w:val="44"/>
            <w:tabs>
              <w:tab w:val="right" w:leader="dot" w:pos="8844"/>
            </w:tabs>
            <w:spacing w:line="620" w:lineRule="exact"/>
            <w:ind w:left="640"/>
            <w:rPr>
              <w:rFonts w:ascii="Times New Roman" w:hAnsi="Times New Roman" w:eastAsia="方正仿宋_GBK"/>
            </w:rPr>
            <w:sectPr>
              <w:footerReference r:id="rId5" w:type="default"/>
              <w:pgSz w:w="11906" w:h="16838"/>
              <w:pgMar w:top="2098" w:right="1531" w:bottom="1984" w:left="1531" w:header="851" w:footer="992" w:gutter="0"/>
              <w:pgNumType w:fmt="numberInDash" w:start="1"/>
              <w:cols w:space="425" w:num="1"/>
              <w:docGrid w:type="lines" w:linePitch="312" w:charSpace="0"/>
            </w:sectPr>
          </w:pPr>
          <w:r>
            <w:fldChar w:fldCharType="begin"/>
          </w:r>
          <w:r>
            <w:instrText xml:space="preserve"> HYPERLINK \l "_Toc15646_WPSOffice_Level2" </w:instrText>
          </w:r>
          <w:r>
            <w:fldChar w:fldCharType="separate"/>
          </w:r>
          <w:r>
            <w:rPr>
              <w:rFonts w:ascii="Times New Roman" w:hAnsi="Times New Roman" w:eastAsia="方正黑体_GBK"/>
              <w:sz w:val="32"/>
              <w:szCs w:val="32"/>
            </w:rPr>
            <w:t>四、加大资金政策投入</w:t>
          </w:r>
          <w:r>
            <w:rPr>
              <w:rFonts w:ascii="Times New Roman" w:hAnsi="Times New Roman"/>
              <w:sz w:val="32"/>
              <w:szCs w:val="32"/>
            </w:rPr>
            <w:tab/>
          </w:r>
          <w:bookmarkStart w:id="76" w:name="_Toc15646_WPSOffice_Level2Page"/>
          <w:r>
            <w:rPr>
              <w:rFonts w:ascii="Times New Roman" w:hAnsi="Times New Roman"/>
              <w:sz w:val="32"/>
              <w:szCs w:val="32"/>
            </w:rPr>
            <w:t>49</w:t>
          </w:r>
          <w:bookmarkEnd w:id="76"/>
          <w:r>
            <w:rPr>
              <w:rFonts w:ascii="Times New Roman" w:hAnsi="Times New Roman"/>
              <w:sz w:val="32"/>
              <w:szCs w:val="32"/>
            </w:rPr>
            <w:fldChar w:fldCharType="end"/>
          </w:r>
        </w:p>
      </w:sdtContent>
    </w:sdt>
    <w:p w14:paraId="691D0826">
      <w:pPr>
        <w:spacing w:line="570" w:lineRule="exact"/>
        <w:jc w:val="center"/>
        <w:rPr>
          <w:rFonts w:ascii="Times New Roman" w:hAnsi="Times New Roman" w:eastAsia="方正小标宋_GBK" w:cs="Times New Roman"/>
          <w:sz w:val="44"/>
          <w:szCs w:val="44"/>
        </w:rPr>
      </w:pPr>
      <w:bookmarkStart w:id="77" w:name="_Toc22902_WPSOffice_Level1"/>
      <w:r>
        <w:rPr>
          <w:rFonts w:ascii="Times New Roman" w:hAnsi="Times New Roman" w:eastAsia="方正小标宋_GBK" w:cs="Times New Roman"/>
          <w:sz w:val="44"/>
          <w:szCs w:val="44"/>
        </w:rPr>
        <w:t>序言</w:t>
      </w:r>
      <w:bookmarkEnd w:id="77"/>
    </w:p>
    <w:p w14:paraId="01BA44DC">
      <w:pPr>
        <w:spacing w:line="594" w:lineRule="exact"/>
        <w:ind w:firstLine="640" w:firstLineChars="200"/>
        <w:rPr>
          <w:rFonts w:ascii="Times New Roman" w:hAnsi="Times New Roman" w:eastAsia="方正仿宋_GBK" w:cs="Times New Roman"/>
          <w:szCs w:val="32"/>
        </w:rPr>
      </w:pPr>
    </w:p>
    <w:p w14:paraId="62661A0A">
      <w:pPr>
        <w:spacing w:line="594" w:lineRule="exact"/>
        <w:ind w:firstLine="640" w:firstLineChars="200"/>
        <w:rPr>
          <w:rFonts w:ascii="Times New Roman" w:hAnsi="Times New Roman" w:eastAsia="方正仿宋_GBK" w:cs="Times New Roman"/>
          <w:kern w:val="0"/>
          <w:szCs w:val="32"/>
        </w:rPr>
      </w:pPr>
      <w:r>
        <w:rPr>
          <w:rFonts w:ascii="Times New Roman" w:hAnsi="Times New Roman" w:eastAsia="方正仿宋_GBK" w:cs="Times New Roman"/>
          <w:szCs w:val="32"/>
        </w:rPr>
        <w:t>2020年10月，党的十九届五中全会审议通过《中共中央关于制定国民经济和社会发展第十四个五年规划和二〇三五年远景目标的建议》；2020年11月，党中央、国务院印发《成渝地区双城经济圈建设规划纲要》；2020年11月，重庆市委五届九次全会通过《中共重庆市委关于制定重庆市国民经济和社会发展第十四个五年规划和二〇三五年远景目标的建议》；2021年2月，重庆市</w:t>
      </w:r>
      <w:r>
        <w:rPr>
          <w:rFonts w:ascii="Times New Roman" w:hAnsi="Times New Roman" w:eastAsia="方正仿宋_GBK" w:cs="Times New Roman"/>
        </w:rPr>
        <w:t>五届人大四次会议批准《重庆市国民经济和社会发展第十四个五年规划和二〇三五年远景目标纲要》</w:t>
      </w:r>
      <w:r>
        <w:rPr>
          <w:rFonts w:ascii="Times New Roman" w:hAnsi="Times New Roman" w:eastAsia="方正仿宋_GBK" w:cs="Times New Roman"/>
          <w:szCs w:val="32"/>
        </w:rPr>
        <w:t>；2021年3月，丰都县第十八届人民代表大会第五次会议批准《丰都县国民经济和社会发展第十四个五年规划和</w:t>
      </w:r>
      <w:r>
        <w:rPr>
          <w:rFonts w:hint="eastAsia" w:ascii="Times New Roman" w:hAnsi="Times New Roman" w:eastAsia="方正仿宋_GBK" w:cs="Times New Roman"/>
          <w:szCs w:val="32"/>
          <w:lang w:eastAsia="zh-CN"/>
        </w:rPr>
        <w:t>二〇三五年远景目标</w:t>
      </w:r>
      <w:r>
        <w:rPr>
          <w:rFonts w:ascii="Times New Roman" w:hAnsi="Times New Roman" w:eastAsia="方正仿宋_GBK" w:cs="Times New Roman"/>
          <w:szCs w:val="32"/>
        </w:rPr>
        <w:t>纲要》。党中央、国务院、市委、市政府和县委、县政府的决策部署为丰都县市场监管“十四五”规划提供了基本遵循。</w:t>
      </w:r>
    </w:p>
    <w:p w14:paraId="3303547A">
      <w:pPr>
        <w:spacing w:line="594" w:lineRule="exact"/>
        <w:ind w:firstLine="640" w:firstLineChars="200"/>
        <w:rPr>
          <w:rFonts w:ascii="Times New Roman" w:hAnsi="Times New Roman" w:eastAsia="方正仿宋_GBK" w:cs="Times New Roman"/>
          <w:kern w:val="0"/>
          <w:szCs w:val="32"/>
        </w:rPr>
      </w:pPr>
      <w:r>
        <w:rPr>
          <w:rFonts w:ascii="Times New Roman" w:hAnsi="Times New Roman" w:eastAsia="方正仿宋_GBK" w:cs="Times New Roman"/>
          <w:kern w:val="0"/>
          <w:szCs w:val="32"/>
        </w:rPr>
        <w:t>“十四五”（2021—2025年）时期，是丰都县全面建成小康社会后开启社会主义现代化建设新征程，推动全县经济社会高质量</w:t>
      </w:r>
      <w:bookmarkStart w:id="341" w:name="_GoBack"/>
      <w:bookmarkEnd w:id="341"/>
      <w:r>
        <w:rPr>
          <w:rFonts w:ascii="Times New Roman" w:hAnsi="Times New Roman" w:eastAsia="方正仿宋_GBK" w:cs="Times New Roman"/>
          <w:kern w:val="0"/>
          <w:szCs w:val="32"/>
        </w:rPr>
        <w:t>发展的关键时期。为</w:t>
      </w:r>
      <w:r>
        <w:rPr>
          <w:rFonts w:ascii="Times New Roman" w:hAnsi="Times New Roman" w:eastAsia="方正仿宋_GBK" w:cs="Times New Roman"/>
          <w:szCs w:val="32"/>
        </w:rPr>
        <w:t>进一步打造市场化法治化国际化营商环境，保护和激发各类市场主体活力，提高食品药品安全保障水平,坚守生命安全红线和健康底线，</w:t>
      </w:r>
      <w:r>
        <w:rPr>
          <w:rFonts w:ascii="Times New Roman" w:hAnsi="Times New Roman" w:eastAsia="方正仿宋_GBK" w:cs="Times New Roman"/>
          <w:kern w:val="0"/>
          <w:szCs w:val="32"/>
        </w:rPr>
        <w:t>加强和改善市场监管，维护市场公平竞争，</w:t>
      </w:r>
      <w:r>
        <w:rPr>
          <w:rFonts w:ascii="Times New Roman" w:hAnsi="Times New Roman" w:eastAsia="方正仿宋_GBK" w:cs="Times New Roman"/>
          <w:szCs w:val="32"/>
        </w:rPr>
        <w:t>强化标准引领，推进质量强县，加强品牌建设和知识产权保护运用，</w:t>
      </w:r>
      <w:r>
        <w:rPr>
          <w:rFonts w:ascii="Times New Roman" w:hAnsi="Times New Roman" w:eastAsia="方正仿宋_GBK" w:cs="Times New Roman"/>
          <w:kern w:val="0"/>
          <w:szCs w:val="32"/>
        </w:rPr>
        <w:t>不断提高市场监管治理体系和治理能力现代化水平，为服务全县乡村振兴，推动经济社会高质量发展营造良好的市场环境，</w:t>
      </w:r>
      <w:r>
        <w:rPr>
          <w:rFonts w:ascii="Times New Roman" w:hAnsi="Times New Roman" w:eastAsia="方正仿宋_GBK" w:cs="Times New Roman"/>
          <w:szCs w:val="32"/>
        </w:rPr>
        <w:t>按照市委、市政府统一安排，县委、县政府工作部署，编制丰都县市场监管“十四五”发展规划。</w:t>
      </w:r>
    </w:p>
    <w:p w14:paraId="0AA62609">
      <w:pPr>
        <w:pStyle w:val="4"/>
        <w:keepNext w:val="0"/>
        <w:keepLines w:val="0"/>
        <w:spacing w:before="0" w:after="0" w:line="594" w:lineRule="exact"/>
        <w:ind w:left="0"/>
        <w:rPr>
          <w:rStyle w:val="24"/>
          <w:rFonts w:eastAsia="方正小标宋_GBK"/>
          <w:b w:val="0"/>
          <w:bCs/>
          <w:sz w:val="44"/>
          <w:szCs w:val="44"/>
          <w:shd w:val="clear" w:color="auto" w:fill="auto"/>
        </w:rPr>
        <w:sectPr>
          <w:footerReference r:id="rId6" w:type="default"/>
          <w:footerReference r:id="rId7" w:type="even"/>
          <w:pgSz w:w="11906" w:h="16838"/>
          <w:pgMar w:top="2098" w:right="1531" w:bottom="1984" w:left="1531" w:header="851" w:footer="992" w:gutter="0"/>
          <w:pgNumType w:start="1"/>
          <w:cols w:space="425" w:num="1"/>
          <w:docGrid w:type="lines" w:linePitch="312" w:charSpace="0"/>
        </w:sectPr>
      </w:pPr>
      <w:bookmarkStart w:id="78" w:name="_Toc14307"/>
    </w:p>
    <w:p w14:paraId="4A238083">
      <w:pPr>
        <w:pStyle w:val="4"/>
        <w:keepNext w:val="0"/>
        <w:keepLines w:val="0"/>
        <w:spacing w:before="0" w:after="0" w:line="570" w:lineRule="exact"/>
        <w:ind w:left="0"/>
        <w:rPr>
          <w:rStyle w:val="24"/>
          <w:rFonts w:eastAsia="方正小标宋_GBK"/>
          <w:b w:val="0"/>
          <w:bCs/>
          <w:sz w:val="44"/>
          <w:szCs w:val="44"/>
          <w:shd w:val="clear" w:color="auto" w:fill="auto"/>
        </w:rPr>
      </w:pPr>
      <w:bookmarkStart w:id="79" w:name="_Toc17007"/>
      <w:bookmarkStart w:id="80" w:name="_Toc12292"/>
      <w:bookmarkStart w:id="81" w:name="_Toc1284_WPSOffice_Level1"/>
      <w:r>
        <w:rPr>
          <w:rStyle w:val="24"/>
          <w:rFonts w:eastAsia="方正小标宋_GBK"/>
          <w:b w:val="0"/>
          <w:bCs/>
          <w:sz w:val="44"/>
          <w:szCs w:val="44"/>
          <w:shd w:val="clear" w:color="auto" w:fill="auto"/>
        </w:rPr>
        <w:t>第一部分：把握市场监管发展方向</w:t>
      </w:r>
      <w:bookmarkEnd w:id="78"/>
      <w:bookmarkEnd w:id="79"/>
      <w:bookmarkEnd w:id="80"/>
      <w:bookmarkEnd w:id="81"/>
    </w:p>
    <w:p w14:paraId="2C490F43">
      <w:pPr>
        <w:pStyle w:val="5"/>
        <w:keepNext w:val="0"/>
        <w:keepLines w:val="0"/>
        <w:spacing w:before="0" w:after="0" w:line="570" w:lineRule="exact"/>
        <w:ind w:firstLine="624" w:firstLineChars="200"/>
        <w:rPr>
          <w:rStyle w:val="24"/>
          <w:rFonts w:ascii="Times New Roman" w:hAnsi="Times New Roman" w:eastAsia="方正黑体_GBK" w:cs="Times New Roman"/>
          <w:b w:val="0"/>
          <w:bCs/>
          <w:spacing w:val="-4"/>
        </w:rPr>
      </w:pPr>
      <w:bookmarkStart w:id="82" w:name="_Toc27333"/>
    </w:p>
    <w:p w14:paraId="7080402A">
      <w:pPr>
        <w:pStyle w:val="5"/>
        <w:keepNext w:val="0"/>
        <w:keepLines w:val="0"/>
        <w:spacing w:before="0" w:after="0" w:line="594" w:lineRule="exact"/>
        <w:ind w:firstLine="624" w:firstLineChars="200"/>
        <w:rPr>
          <w:rStyle w:val="24"/>
          <w:rFonts w:ascii="Times New Roman" w:hAnsi="Times New Roman" w:eastAsia="方正黑体_GBK" w:cs="Times New Roman"/>
          <w:b w:val="0"/>
          <w:bCs/>
          <w:spacing w:val="-4"/>
        </w:rPr>
      </w:pPr>
      <w:bookmarkStart w:id="83" w:name="_Toc17946"/>
      <w:bookmarkStart w:id="84" w:name="_Toc9208"/>
      <w:bookmarkStart w:id="85" w:name="_Toc1284_WPSOffice_Level2"/>
      <w:r>
        <w:rPr>
          <w:rStyle w:val="24"/>
          <w:rFonts w:ascii="Times New Roman" w:hAnsi="Times New Roman" w:eastAsia="方正黑体_GBK" w:cs="Times New Roman"/>
          <w:b w:val="0"/>
          <w:bCs/>
          <w:spacing w:val="-4"/>
        </w:rPr>
        <w:t>一、“十三五”期间的发展情况</w:t>
      </w:r>
      <w:bookmarkEnd w:id="82"/>
      <w:bookmarkEnd w:id="83"/>
      <w:bookmarkEnd w:id="84"/>
      <w:bookmarkEnd w:id="85"/>
    </w:p>
    <w:p w14:paraId="16C1AC18">
      <w:pPr>
        <w:pStyle w:val="5"/>
        <w:keepNext w:val="0"/>
        <w:keepLines w:val="0"/>
        <w:spacing w:before="0" w:after="0" w:line="594" w:lineRule="exact"/>
        <w:ind w:firstLine="640" w:firstLineChars="200"/>
        <w:rPr>
          <w:rFonts w:ascii="Times New Roman" w:hAnsi="Times New Roman" w:eastAsia="方正楷体_GBK" w:cs="Times New Roman"/>
          <w:b w:val="0"/>
          <w:bCs w:val="0"/>
        </w:rPr>
      </w:pPr>
      <w:bookmarkStart w:id="86" w:name="_Toc1284_WPSOffice_Level3"/>
      <w:bookmarkStart w:id="87" w:name="_Toc8943"/>
      <w:bookmarkStart w:id="88" w:name="_Toc12302"/>
      <w:bookmarkStart w:id="89" w:name="_Toc10343"/>
      <w:r>
        <w:rPr>
          <w:rFonts w:ascii="Times New Roman" w:hAnsi="Times New Roman" w:eastAsia="方正楷体_GBK" w:cs="Times New Roman"/>
          <w:b w:val="0"/>
          <w:bCs w:val="0"/>
        </w:rPr>
        <w:t>（一）取得的良好成效</w:t>
      </w:r>
      <w:bookmarkEnd w:id="86"/>
      <w:bookmarkEnd w:id="87"/>
      <w:bookmarkEnd w:id="88"/>
      <w:bookmarkEnd w:id="89"/>
    </w:p>
    <w:p w14:paraId="1E31B151">
      <w:pPr>
        <w:spacing w:line="594" w:lineRule="exact"/>
        <w:ind w:firstLine="640" w:firstLineChars="200"/>
        <w:rPr>
          <w:rFonts w:ascii="Times New Roman" w:hAnsi="Times New Roman" w:eastAsia="方正仿宋_GBK" w:cs="Times New Roman"/>
        </w:rPr>
      </w:pPr>
      <w:r>
        <w:rPr>
          <w:rFonts w:ascii="Times New Roman" w:hAnsi="Times New Roman" w:eastAsia="方正仿宋_GBK" w:cs="Times New Roman"/>
          <w:szCs w:val="32"/>
        </w:rPr>
        <w:t>“十三五”时期，按照深化“放管服”改革的部署要求，以商事登记制度改革为突破口，丰都县市场监管领域改革创新成就显著，在构建现代化市场监管体系上迈出重要步伐，护航高质量发展取得显著成效。</w:t>
      </w:r>
      <w:r>
        <w:rPr>
          <w:rFonts w:ascii="Times New Roman" w:hAnsi="Times New Roman" w:eastAsia="方正仿宋_GBK" w:cs="Times New Roman"/>
          <w:b/>
          <w:bCs/>
          <w:szCs w:val="32"/>
        </w:rPr>
        <w:t>一是</w:t>
      </w:r>
      <w:r>
        <w:rPr>
          <w:rFonts w:ascii="Times New Roman" w:hAnsi="Times New Roman" w:eastAsia="方正仿宋_GBK" w:cs="Times New Roman"/>
          <w:szCs w:val="32"/>
        </w:rPr>
        <w:t>市场监管改革不断创新。市场监管领域全面推行部门联合“双随机、一公开”监管，完善跨部门会商，实施跨部门综合执法、联合监管，市场综合监管能力显著提升。原工商、质监、食药监等部门整合，划入知识产权、物价、反垄断职能组建为县市场监督管理局，设置市场监管综合行政执法支队，成立了10个市场监管所，新的监管执法体系逐步建立，市场监管部门机构改革任务顺利完成。</w:t>
      </w:r>
      <w:r>
        <w:rPr>
          <w:rFonts w:ascii="Times New Roman" w:hAnsi="Times New Roman" w:eastAsia="方正仿宋_GBK" w:cs="Times New Roman"/>
          <w:b/>
          <w:bCs/>
          <w:szCs w:val="32"/>
        </w:rPr>
        <w:t>二是</w:t>
      </w:r>
      <w:r>
        <w:rPr>
          <w:rFonts w:ascii="Times New Roman" w:hAnsi="Times New Roman" w:eastAsia="方正仿宋_GBK" w:cs="Times New Roman"/>
          <w:szCs w:val="32"/>
        </w:rPr>
        <w:t>营商环境不断优化。商事登记制度改革取得突破性进展，“证照分离”“多证合一、一照一码”全面推行，注册登记便利化程度不断提高，市场主体数量快速增长，促进了大众创业、万众创新。截止“十三五”末，全县市场主体数量达60066户。</w:t>
      </w:r>
      <w:r>
        <w:rPr>
          <w:rFonts w:ascii="Times New Roman" w:hAnsi="Times New Roman" w:eastAsia="方正仿宋_GBK" w:cs="Times New Roman"/>
          <w:b/>
          <w:bCs/>
          <w:szCs w:val="32"/>
        </w:rPr>
        <w:t>三是</w:t>
      </w:r>
      <w:r>
        <w:rPr>
          <w:rFonts w:ascii="Times New Roman" w:hAnsi="Times New Roman" w:eastAsia="方正仿宋_GBK" w:cs="Times New Roman"/>
          <w:szCs w:val="32"/>
        </w:rPr>
        <w:t>竞争环境规范有序。市场秩序和市场环境不断改善，市场综合监管、质量监管和食品药品安全监管不断强化，整顿和规范市场秩序取得新成效，消费维权能力不断增强，依法行政水平不断提升。</w:t>
      </w:r>
      <w:r>
        <w:rPr>
          <w:rFonts w:ascii="Times New Roman" w:hAnsi="Times New Roman" w:eastAsia="方正仿宋_GBK" w:cs="Times New Roman"/>
          <w:b/>
          <w:bCs/>
          <w:szCs w:val="32"/>
        </w:rPr>
        <w:t>四是</w:t>
      </w:r>
      <w:r>
        <w:rPr>
          <w:rFonts w:ascii="Times New Roman" w:hAnsi="Times New Roman" w:eastAsia="方正仿宋_GBK" w:cs="Times New Roman"/>
          <w:szCs w:val="32"/>
        </w:rPr>
        <w:t>监管机制不断完善。事中事后监管机制初步建立，“双随机、一公开”监管改革得到有效推进，企业信用信息公示工作稳步推进，联合惩戒机制作用发挥见成效。</w:t>
      </w:r>
      <w:r>
        <w:rPr>
          <w:rFonts w:ascii="Times New Roman" w:hAnsi="Times New Roman" w:eastAsia="方正仿宋_GBK" w:cs="Times New Roman"/>
          <w:b/>
          <w:bCs/>
          <w:szCs w:val="32"/>
        </w:rPr>
        <w:t>五是</w:t>
      </w:r>
      <w:r>
        <w:rPr>
          <w:rFonts w:ascii="Times New Roman" w:hAnsi="Times New Roman" w:eastAsia="方正仿宋_GBK" w:cs="Times New Roman"/>
          <w:szCs w:val="32"/>
        </w:rPr>
        <w:t>市场安全水平提升。食品药品安全：食品定性定量检测完成4300批次，达2.6批次/年·千人；食品评价性抽检合格率达到98%；药品监督抽样合格率达到98%；医疗器械监督抽样合格率达到99%；化妆品抽样合格率达到98%。特种设备安全：扎实开展特种设备安全监管和隐患排查治理。产品质量监管：主要针对社会关注度高、消费者和用户反映强烈、质量安全风险较大的产品，以及儿童、学生、老年人、妇女等特殊群体的产品，组织开展了1126批次的质量监督抽检，产品合格率达到91.18%。连续五年未发生食品、药品、特种设备、工业产品质量安全事故和重大影响事件。</w:t>
      </w:r>
      <w:r>
        <w:rPr>
          <w:rFonts w:ascii="Times New Roman" w:hAnsi="Times New Roman" w:eastAsia="方正仿宋_GBK" w:cs="Times New Roman"/>
          <w:b/>
          <w:bCs/>
          <w:szCs w:val="32"/>
        </w:rPr>
        <w:t>六是</w:t>
      </w:r>
      <w:r>
        <w:rPr>
          <w:rFonts w:ascii="Times New Roman" w:hAnsi="Times New Roman" w:eastAsia="方正仿宋_GBK" w:cs="Times New Roman"/>
        </w:rPr>
        <w:t>质量提升、认证认可工作成效显著。牵头制定了《丰都县开展质量提升行动加快建设质量强县2019-2020重点工作计划》，同时联合多家部门印发了《关于在全县深入开展2020质量月活动的通知》。通过深入开展质量提升行动和认证“双提升”行动，全县供给质量明显得到改善，供给体系更有效率，质量认证供给更加充分，各类企业组织质量管理能力明显增强，主要产品、工程和服务质量水平明显得到提升，形成了一批具有市场竞争力的质量认证品牌，质量强县建设取得明显成效。获得重庆名牌产品2个。</w:t>
      </w:r>
      <w:r>
        <w:rPr>
          <w:rFonts w:ascii="Times New Roman" w:hAnsi="Times New Roman" w:eastAsia="方正仿宋_GBK" w:cs="Times New Roman"/>
          <w:szCs w:val="32"/>
        </w:rPr>
        <w:t>有效发明专利拥有量52件。</w:t>
      </w:r>
      <w:r>
        <w:rPr>
          <w:rFonts w:ascii="Times New Roman" w:hAnsi="Times New Roman" w:eastAsia="方正仿宋_GBK" w:cs="Times New Roman"/>
          <w:b/>
          <w:bCs/>
          <w:szCs w:val="32"/>
        </w:rPr>
        <w:t>七是</w:t>
      </w:r>
      <w:r>
        <w:rPr>
          <w:rFonts w:ascii="Times New Roman" w:hAnsi="Times New Roman" w:eastAsia="方正仿宋_GBK" w:cs="Times New Roman"/>
          <w:szCs w:val="32"/>
        </w:rPr>
        <w:t>基础建设得到加强。智慧监管系统一期投入使用，基本建成10个市场监管所，配备了市场监管综合行政执法队伍。</w:t>
      </w:r>
      <w:r>
        <w:rPr>
          <w:rFonts w:ascii="Times New Roman" w:hAnsi="Times New Roman" w:eastAsia="方正仿宋_GBK" w:cs="Times New Roman"/>
          <w:b/>
          <w:bCs/>
          <w:szCs w:val="32"/>
        </w:rPr>
        <w:t>八是</w:t>
      </w:r>
      <w:r>
        <w:rPr>
          <w:rFonts w:ascii="Times New Roman" w:hAnsi="Times New Roman" w:eastAsia="方正仿宋_GBK" w:cs="Times New Roman"/>
        </w:rPr>
        <w:t>全力助推脱贫攻坚。始终把脱贫攻坚作为一项重要的政治任务抓紧抓实，统筹抓好结对帮扶和职能扶贫，集中火力、尽锐出战，向脱贫攻坚发起总攻。</w:t>
      </w:r>
      <w:r>
        <w:rPr>
          <w:rFonts w:ascii="Times New Roman" w:hAnsi="Times New Roman" w:eastAsia="方正仿宋_GBK" w:cs="Times New Roman"/>
          <w:b/>
          <w:bCs/>
          <w:szCs w:val="32"/>
        </w:rPr>
        <w:t>九是</w:t>
      </w:r>
      <w:r>
        <w:rPr>
          <w:rFonts w:ascii="Times New Roman" w:hAnsi="Times New Roman" w:eastAsia="方正仿宋_GBK" w:cs="Times New Roman"/>
        </w:rPr>
        <w:t>疫情防控取得决定性胜利。市场监管队伍迅速反应、主动战役，加强市场主体排查，强化案件查办，保障市场供应，筑牢市场安全网。做好教育引导，维护消费者合法权益，筑牢群众暖心网。</w:t>
      </w:r>
    </w:p>
    <w:p w14:paraId="1B39D527">
      <w:pPr>
        <w:pStyle w:val="5"/>
        <w:keepNext w:val="0"/>
        <w:keepLines w:val="0"/>
        <w:spacing w:before="0" w:after="0" w:line="594" w:lineRule="exact"/>
        <w:ind w:firstLine="640" w:firstLineChars="200"/>
        <w:rPr>
          <w:rFonts w:ascii="Times New Roman" w:hAnsi="Times New Roman" w:eastAsia="方正楷体_GBK" w:cs="Times New Roman"/>
          <w:b w:val="0"/>
          <w:bCs w:val="0"/>
        </w:rPr>
      </w:pPr>
      <w:bookmarkStart w:id="90" w:name="_Toc1070"/>
      <w:bookmarkStart w:id="91" w:name="_Toc27360_WPSOffice_Level3"/>
      <w:bookmarkStart w:id="92" w:name="_Toc26856"/>
      <w:bookmarkStart w:id="93" w:name="_Toc1407"/>
      <w:r>
        <w:rPr>
          <w:rFonts w:ascii="Times New Roman" w:hAnsi="Times New Roman" w:eastAsia="方正楷体_GBK" w:cs="Times New Roman"/>
          <w:b w:val="0"/>
          <w:bCs w:val="0"/>
        </w:rPr>
        <w:t>（二）面临的主要挑战</w:t>
      </w:r>
      <w:bookmarkEnd w:id="90"/>
      <w:bookmarkEnd w:id="91"/>
      <w:bookmarkEnd w:id="92"/>
      <w:bookmarkEnd w:id="93"/>
    </w:p>
    <w:p w14:paraId="054DE553">
      <w:pPr>
        <w:spacing w:line="594" w:lineRule="exact"/>
        <w:ind w:firstLine="640" w:firstLineChars="200"/>
        <w:jc w:val="left"/>
        <w:rPr>
          <w:rFonts w:ascii="Times New Roman" w:hAnsi="Times New Roman" w:eastAsia="方正仿宋_GBK" w:cs="Times New Roman"/>
          <w:szCs w:val="32"/>
        </w:rPr>
      </w:pPr>
      <w:r>
        <w:rPr>
          <w:rFonts w:ascii="Times New Roman" w:hAnsi="Times New Roman" w:eastAsia="方正仿宋_GBK" w:cs="Times New Roman"/>
          <w:szCs w:val="32"/>
        </w:rPr>
        <w:t>当前和今后一个时期，我国发展仍然处于重要战略机遇期，但机遇和挑战都有新的发展变化。我国发展已转向高质量发展阶段，发展不平衡不充分问题仍然突出，重点领域关键环节改革任务仍然艰巨，市场监管护航高质量发展面临诸多挑战。与重庆市大部分区县相比，丰都县现代化市场监管体系建设面临诸多挑战。</w:t>
      </w:r>
      <w:r>
        <w:rPr>
          <w:rFonts w:ascii="Times New Roman" w:hAnsi="Times New Roman" w:eastAsia="方正仿宋_GBK" w:cs="Times New Roman"/>
          <w:b/>
          <w:bCs/>
          <w:kern w:val="0"/>
          <w:szCs w:val="32"/>
        </w:rPr>
        <w:t>一是</w:t>
      </w:r>
      <w:r>
        <w:rPr>
          <w:rFonts w:ascii="Times New Roman" w:hAnsi="Times New Roman" w:eastAsia="方正仿宋_GBK" w:cs="Times New Roman"/>
          <w:szCs w:val="32"/>
        </w:rPr>
        <w:t>人员结构素质瓶颈的挑战。</w:t>
      </w:r>
      <w:r>
        <w:rPr>
          <w:rFonts w:ascii="Times New Roman" w:hAnsi="Times New Roman" w:eastAsia="方正仿宋_GBK" w:cs="Times New Roman"/>
          <w:kern w:val="0"/>
          <w:szCs w:val="32"/>
        </w:rPr>
        <w:t>市场监管干部队伍知识结构矛盾突出，专业人才匮乏，与当前的精细化管理、大数据、智能化、专业化发展等不相适应。机构整合后，监管重心下移，基层监管任务更加繁重，基层普遍面临人员不足、经费短缺、装备落后等问题。</w:t>
      </w:r>
      <w:r>
        <w:rPr>
          <w:rFonts w:ascii="Times New Roman" w:hAnsi="Times New Roman" w:eastAsia="方正仿宋_GBK" w:cs="Times New Roman"/>
          <w:b/>
          <w:bCs/>
          <w:kern w:val="0"/>
          <w:szCs w:val="32"/>
        </w:rPr>
        <w:t>二是</w:t>
      </w:r>
      <w:r>
        <w:rPr>
          <w:rFonts w:ascii="Times New Roman" w:hAnsi="Times New Roman" w:eastAsia="方正仿宋_GBK" w:cs="Times New Roman"/>
          <w:kern w:val="0"/>
          <w:szCs w:val="32"/>
        </w:rPr>
        <w:t>新时代市场监管实现新提升的挑战。在职责任务方面，存在进一步提升市场监管效能的挑战，如一体化监管统一大市场、推进质量强县战略、服务改革发展大局等。在维护市场秩序方面，更加有力有效做好反垄断、打击假冒伪劣、安全监管，特别是食品药品和特种设备监管、保护知识产权、市场信用体系建设等。在工作机制方面，将市场监管的思路、机制、理念、队伍和工作融合、法律统一、业务协同等。</w:t>
      </w:r>
      <w:r>
        <w:rPr>
          <w:rFonts w:ascii="Times New Roman" w:hAnsi="Times New Roman" w:eastAsia="方正仿宋_GBK" w:cs="Times New Roman"/>
          <w:b/>
          <w:bCs/>
          <w:kern w:val="0"/>
          <w:szCs w:val="32"/>
        </w:rPr>
        <w:t>三是</w:t>
      </w:r>
      <w:r>
        <w:rPr>
          <w:rFonts w:ascii="Times New Roman" w:hAnsi="Times New Roman" w:eastAsia="方正仿宋_GBK" w:cs="Times New Roman"/>
          <w:kern w:val="0"/>
          <w:szCs w:val="32"/>
        </w:rPr>
        <w:t>新业态新模式发展带来的挑战。近年来，平台经济、数字经济、共享经济等新业态新模式发展方兴未艾，新产业、新业态不断涌现，电子商务、线上线下互动蓬勃发展。数字经济时代市场监管如何实施包容审慎监管，如何</w:t>
      </w:r>
      <w:r>
        <w:rPr>
          <w:rFonts w:ascii="Times New Roman" w:hAnsi="Times New Roman" w:eastAsia="方正仿宋_GBK" w:cs="Times New Roman"/>
          <w:szCs w:val="32"/>
        </w:rPr>
        <w:t>在鼓励创新的同时</w:t>
      </w:r>
      <w:r>
        <w:rPr>
          <w:rFonts w:ascii="Times New Roman" w:hAnsi="Times New Roman" w:eastAsia="方正仿宋_GBK" w:cs="Times New Roman"/>
          <w:kern w:val="0"/>
          <w:szCs w:val="32"/>
        </w:rPr>
        <w:t>维护好消费者合法权益、</w:t>
      </w:r>
      <w:r>
        <w:rPr>
          <w:rFonts w:ascii="Times New Roman" w:hAnsi="Times New Roman" w:eastAsia="方正仿宋_GBK" w:cs="Times New Roman"/>
          <w:szCs w:val="32"/>
        </w:rPr>
        <w:t>进行有效监管</w:t>
      </w:r>
      <w:r>
        <w:rPr>
          <w:rFonts w:ascii="Times New Roman" w:hAnsi="Times New Roman" w:eastAsia="方正仿宋_GBK" w:cs="Times New Roman"/>
          <w:kern w:val="0"/>
          <w:szCs w:val="32"/>
        </w:rPr>
        <w:t>，落实实施《国务院反垄断委员会关于平台经济领域的反垄断指南》《互联网广告管理暂行办法》《网络交易管理办法》等，</w:t>
      </w:r>
      <w:r>
        <w:rPr>
          <w:rFonts w:ascii="Times New Roman" w:hAnsi="Times New Roman" w:eastAsia="方正仿宋_GBK" w:cs="Times New Roman"/>
          <w:szCs w:val="32"/>
        </w:rPr>
        <w:t>在包容与审慎中找到平衡点，是全县现代化市场监管体系建设的又一挑战。</w:t>
      </w:r>
    </w:p>
    <w:p w14:paraId="37F26B86">
      <w:pPr>
        <w:pStyle w:val="5"/>
        <w:keepNext w:val="0"/>
        <w:keepLines w:val="0"/>
        <w:spacing w:before="0" w:after="0" w:line="594" w:lineRule="exact"/>
        <w:ind w:firstLine="624" w:firstLineChars="200"/>
        <w:rPr>
          <w:rStyle w:val="24"/>
          <w:rFonts w:ascii="Times New Roman" w:hAnsi="Times New Roman" w:eastAsia="方正黑体_GBK" w:cs="Times New Roman"/>
          <w:b w:val="0"/>
          <w:bCs/>
          <w:spacing w:val="-4"/>
        </w:rPr>
      </w:pPr>
      <w:bookmarkStart w:id="94" w:name="_Toc27360_WPSOffice_Level2"/>
      <w:bookmarkStart w:id="95" w:name="_Toc6525"/>
      <w:bookmarkStart w:id="96" w:name="_Toc3756"/>
      <w:bookmarkStart w:id="97" w:name="_Toc19756"/>
      <w:r>
        <w:rPr>
          <w:rStyle w:val="24"/>
          <w:rFonts w:ascii="Times New Roman" w:hAnsi="Times New Roman" w:eastAsia="方正黑体_GBK" w:cs="Times New Roman"/>
          <w:b w:val="0"/>
          <w:bCs/>
          <w:spacing w:val="-4"/>
        </w:rPr>
        <w:t>二、“十四五”期间的发展趋势</w:t>
      </w:r>
      <w:bookmarkEnd w:id="94"/>
      <w:bookmarkEnd w:id="95"/>
      <w:bookmarkEnd w:id="96"/>
      <w:bookmarkEnd w:id="97"/>
    </w:p>
    <w:p w14:paraId="35B84EC5">
      <w:pPr>
        <w:pStyle w:val="5"/>
        <w:keepNext w:val="0"/>
        <w:keepLines w:val="0"/>
        <w:spacing w:before="0" w:after="0" w:line="594" w:lineRule="exact"/>
        <w:ind w:firstLine="640" w:firstLineChars="200"/>
        <w:rPr>
          <w:rFonts w:ascii="Times New Roman" w:hAnsi="Times New Roman" w:eastAsia="方正楷体_GBK" w:cs="Times New Roman"/>
          <w:b w:val="0"/>
          <w:bCs w:val="0"/>
        </w:rPr>
      </w:pPr>
      <w:bookmarkStart w:id="98" w:name="_Toc32338_WPSOffice_Level3"/>
      <w:bookmarkStart w:id="99" w:name="_Toc24326"/>
      <w:bookmarkStart w:id="100" w:name="_Toc16943"/>
      <w:bookmarkStart w:id="101" w:name="_Toc22643"/>
      <w:r>
        <w:rPr>
          <w:rFonts w:ascii="Times New Roman" w:hAnsi="Times New Roman" w:eastAsia="方正楷体_GBK" w:cs="Times New Roman"/>
          <w:b w:val="0"/>
          <w:bCs w:val="0"/>
        </w:rPr>
        <w:t>（一）紧扣新时代主题</w:t>
      </w:r>
      <w:bookmarkEnd w:id="98"/>
      <w:bookmarkEnd w:id="99"/>
      <w:bookmarkEnd w:id="100"/>
      <w:bookmarkEnd w:id="101"/>
    </w:p>
    <w:p w14:paraId="2ACE7A97">
      <w:pPr>
        <w:spacing w:line="594" w:lineRule="exact"/>
        <w:ind w:firstLine="640" w:firstLineChars="200"/>
        <w:rPr>
          <w:rFonts w:ascii="Times New Roman" w:hAnsi="Times New Roman" w:cs="Times New Roman"/>
          <w:szCs w:val="32"/>
        </w:rPr>
      </w:pPr>
      <w:r>
        <w:rPr>
          <w:rFonts w:ascii="Times New Roman" w:hAnsi="Times New Roman" w:eastAsia="方正仿宋_GBK" w:cs="Times New Roman"/>
          <w:szCs w:val="32"/>
        </w:rPr>
        <w:t>“十四五”期间，我国将全面建设高标准市场体系，健全市场体系基础制度，坚持平等准入、公正监管、开放有序、诚信守法，形成高效规范、公平竞争的国内统一市场。实施高标准市场体系建设行动。落实统一的市场准入负面清单制度，继续放宽准入限制。健全公平竞争审查机制，加强反垄断和反不正当竞争执法司法，加快清理废除阻碍统一市场和公平竞争的各种规定和做法，完善现代化市场监管制度机制，提升市场综合监管能力。落实产权执法司法保护制度，规范涉企执法司法行为。深化“放管服”改革，依法平等保护各类市场主体产权和经营权，对标世界银行标准，建设市场化法治化国际一流营商环境。健全归属清晰、权责明确、保护严格、流转顺畅的现代产权制度。健全以“双随机、一公开”监管为基本手段、以重点监管为补充、以信用监管为基础、以智慧监管为支撑的新型监管机制。对新产业新业态实行包容审慎监管。深化巩固市场监管体制改革成果，服务高标准市场体系建设，维护市场公平竞争，激发市场主体活力和创造力，进一步释放改革红利，进一步增强人民群众获得感，更加有力推动县域经济社会持续健康发展。</w:t>
      </w:r>
    </w:p>
    <w:p w14:paraId="74A64FC1">
      <w:pPr>
        <w:pStyle w:val="5"/>
        <w:keepNext w:val="0"/>
        <w:keepLines w:val="0"/>
        <w:spacing w:before="0" w:after="0" w:line="594" w:lineRule="exact"/>
        <w:ind w:firstLine="640" w:firstLineChars="200"/>
        <w:rPr>
          <w:rFonts w:ascii="Times New Roman" w:hAnsi="Times New Roman" w:eastAsia="方正楷体_GBK" w:cs="Times New Roman"/>
          <w:b w:val="0"/>
          <w:bCs w:val="0"/>
        </w:rPr>
      </w:pPr>
      <w:bookmarkStart w:id="102" w:name="_Toc21030"/>
      <w:bookmarkStart w:id="103" w:name="_Toc26713_WPSOffice_Level3"/>
      <w:bookmarkStart w:id="104" w:name="_Toc21921"/>
      <w:bookmarkStart w:id="105" w:name="_Toc3714"/>
      <w:r>
        <w:rPr>
          <w:rFonts w:ascii="Times New Roman" w:hAnsi="Times New Roman" w:eastAsia="方正楷体_GBK" w:cs="Times New Roman"/>
          <w:b w:val="0"/>
          <w:bCs w:val="0"/>
        </w:rPr>
        <w:t>（二）开拓新发展格局</w:t>
      </w:r>
      <w:bookmarkEnd w:id="102"/>
      <w:bookmarkEnd w:id="103"/>
      <w:bookmarkEnd w:id="104"/>
      <w:bookmarkEnd w:id="105"/>
    </w:p>
    <w:p w14:paraId="3F2DBCEC">
      <w:pPr>
        <w:spacing w:line="594"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以质量品牌为重点，完善质量基础设施，加强标准、计量、专利等体系和能力建设，深入开展质量提升行动，强化质量标准、检验检疫、认证认可等相互衔接。实施品牌战略，加强知识产权保护，大幅提高科技成果转化成效，促进消费向绿色、健康、安全发展。把保护人民生命安全摆在首位，全面提高公共安全保障能力，提高食品药品等关系人民健康产品和服务的安全保障水平。严格市场监管，加强违法惩戒。</w:t>
      </w:r>
    </w:p>
    <w:p w14:paraId="238422BD">
      <w:pPr>
        <w:pStyle w:val="5"/>
        <w:keepNext w:val="0"/>
        <w:keepLines w:val="0"/>
        <w:spacing w:before="0" w:after="0" w:line="594" w:lineRule="exact"/>
        <w:ind w:firstLine="640" w:firstLineChars="200"/>
        <w:rPr>
          <w:rFonts w:ascii="Times New Roman" w:hAnsi="Times New Roman" w:eastAsia="方正楷体_GBK" w:cs="Times New Roman"/>
          <w:b w:val="0"/>
          <w:bCs w:val="0"/>
        </w:rPr>
      </w:pPr>
      <w:bookmarkStart w:id="106" w:name="_Toc2858"/>
      <w:bookmarkStart w:id="107" w:name="_Toc8924_WPSOffice_Level3"/>
      <w:bookmarkStart w:id="108" w:name="_Toc23694"/>
      <w:bookmarkStart w:id="109" w:name="_Toc11772"/>
      <w:r>
        <w:rPr>
          <w:rFonts w:ascii="Times New Roman" w:hAnsi="Times New Roman" w:eastAsia="方正楷体_GBK" w:cs="Times New Roman"/>
          <w:b w:val="0"/>
          <w:bCs w:val="0"/>
        </w:rPr>
        <w:t>（三）探索新发展机遇</w:t>
      </w:r>
      <w:bookmarkEnd w:id="106"/>
      <w:bookmarkEnd w:id="107"/>
      <w:bookmarkEnd w:id="108"/>
      <w:bookmarkEnd w:id="109"/>
    </w:p>
    <w:p w14:paraId="7ECFC70A">
      <w:pPr>
        <w:spacing w:line="594" w:lineRule="exact"/>
        <w:ind w:firstLine="643" w:firstLineChars="200"/>
        <w:rPr>
          <w:rFonts w:ascii="Times New Roman" w:hAnsi="Times New Roman" w:cs="Times New Roman"/>
          <w:b/>
          <w:szCs w:val="32"/>
        </w:rPr>
      </w:pPr>
      <w:r>
        <w:rPr>
          <w:rFonts w:ascii="Times New Roman" w:hAnsi="Times New Roman" w:eastAsia="方正仿宋_GBK" w:cs="Times New Roman"/>
          <w:b/>
          <w:bCs/>
          <w:szCs w:val="32"/>
        </w:rPr>
        <w:t>一是</w:t>
      </w:r>
      <w:r>
        <w:rPr>
          <w:rFonts w:ascii="Times New Roman" w:hAnsi="Times New Roman" w:eastAsia="方正仿宋_GBK" w:cs="Times New Roman"/>
          <w:szCs w:val="32"/>
        </w:rPr>
        <w:t>党中央国务院对市场监管提出新要求带来新机遇。习近平总书记关于市场监管重要论述中多次提到食品药品安全、质量提升行动、品牌建设、知识产权保护运用等，中央政治局就加强我国知识产权保护工作举行第二十五次集体学习，质量强县迎来新机遇。</w:t>
      </w:r>
      <w:r>
        <w:rPr>
          <w:rFonts w:ascii="Times New Roman" w:hAnsi="Times New Roman" w:eastAsia="方正仿宋_GBK" w:cs="Times New Roman"/>
          <w:b/>
          <w:bCs/>
          <w:szCs w:val="32"/>
        </w:rPr>
        <w:t>二是</w:t>
      </w:r>
      <w:r>
        <w:rPr>
          <w:rFonts w:ascii="Times New Roman" w:hAnsi="Times New Roman" w:eastAsia="方正仿宋_GBK" w:cs="Times New Roman"/>
          <w:szCs w:val="32"/>
        </w:rPr>
        <w:t>国内国际双循环新发展格局、成渝地区双城经济圈、渝东北三峡库区城镇群等战略实施</w:t>
      </w:r>
      <w:r>
        <w:rPr>
          <w:rFonts w:ascii="Times New Roman" w:hAnsi="Times New Roman" w:eastAsia="方正仿宋_GBK" w:cs="Times New Roman"/>
          <w:szCs w:val="32"/>
          <w:lang w:val="zh-CN"/>
        </w:rPr>
        <w:t>将迎来诸多政策利好、投资利好、项目利好，极大提振市场预期、社会预期，</w:t>
      </w:r>
      <w:r>
        <w:rPr>
          <w:rFonts w:ascii="Times New Roman" w:hAnsi="Times New Roman" w:eastAsia="方正仿宋_GBK" w:cs="Times New Roman"/>
          <w:szCs w:val="32"/>
        </w:rPr>
        <w:t>市场监管护航丰都经济社会高质量发展迎来新机遇。</w:t>
      </w:r>
      <w:r>
        <w:rPr>
          <w:rFonts w:ascii="Times New Roman" w:hAnsi="Times New Roman" w:eastAsia="方正仿宋_GBK" w:cs="Times New Roman"/>
          <w:b/>
          <w:bCs/>
          <w:szCs w:val="32"/>
        </w:rPr>
        <w:t>三是</w:t>
      </w:r>
      <w:r>
        <w:rPr>
          <w:rFonts w:ascii="Times New Roman" w:hAnsi="Times New Roman" w:eastAsia="方正仿宋_GBK" w:cs="Times New Roman"/>
          <w:szCs w:val="32"/>
        </w:rPr>
        <w:t>商事制度改革赋予市场监管新机遇。商事制度改革持续优化营商环境，激发市场主体的活力和创造力，推动经济高质量发展，创造高品质生活。</w:t>
      </w:r>
    </w:p>
    <w:p w14:paraId="412A9392">
      <w:pPr>
        <w:pStyle w:val="4"/>
        <w:keepNext w:val="0"/>
        <w:keepLines w:val="0"/>
        <w:spacing w:line="240" w:lineRule="auto"/>
        <w:ind w:firstLine="640" w:firstLineChars="200"/>
        <w:rPr>
          <w:rStyle w:val="24"/>
          <w:b w:val="0"/>
          <w:bCs/>
          <w:shd w:val="clear" w:color="auto" w:fill="auto"/>
        </w:rPr>
      </w:pPr>
      <w:r>
        <w:rPr>
          <w:rStyle w:val="24"/>
          <w:b w:val="0"/>
          <w:bCs/>
          <w:shd w:val="clear" w:color="auto" w:fill="auto"/>
        </w:rPr>
        <w:br w:type="page"/>
      </w:r>
    </w:p>
    <w:p w14:paraId="01D3CD5A">
      <w:pPr>
        <w:pStyle w:val="4"/>
        <w:keepNext w:val="0"/>
        <w:keepLines w:val="0"/>
        <w:spacing w:before="0" w:after="0" w:line="240" w:lineRule="auto"/>
        <w:ind w:left="0"/>
        <w:rPr>
          <w:rStyle w:val="24"/>
          <w:rFonts w:eastAsia="方正小标宋_GBK"/>
          <w:b w:val="0"/>
          <w:bCs/>
          <w:sz w:val="44"/>
          <w:szCs w:val="44"/>
          <w:shd w:val="clear" w:color="auto" w:fill="auto"/>
        </w:rPr>
      </w:pPr>
      <w:bookmarkStart w:id="110" w:name="_Toc27360_WPSOffice_Level1"/>
      <w:bookmarkStart w:id="111" w:name="_Toc25191"/>
      <w:bookmarkStart w:id="112" w:name="_Toc17336"/>
      <w:bookmarkStart w:id="113" w:name="_Toc31537"/>
      <w:r>
        <w:rPr>
          <w:rStyle w:val="24"/>
          <w:rFonts w:eastAsia="方正小标宋_GBK"/>
          <w:b w:val="0"/>
          <w:bCs/>
          <w:sz w:val="44"/>
          <w:szCs w:val="44"/>
          <w:shd w:val="clear" w:color="auto" w:fill="auto"/>
        </w:rPr>
        <w:t>第二部分：锚定市场监管发展战略</w:t>
      </w:r>
      <w:bookmarkEnd w:id="110"/>
      <w:bookmarkEnd w:id="111"/>
      <w:bookmarkEnd w:id="112"/>
      <w:bookmarkEnd w:id="113"/>
    </w:p>
    <w:p w14:paraId="21688A3B">
      <w:pPr>
        <w:pStyle w:val="5"/>
        <w:keepNext w:val="0"/>
        <w:keepLines w:val="0"/>
        <w:spacing w:before="0" w:after="0" w:line="240" w:lineRule="auto"/>
        <w:ind w:firstLine="624" w:firstLineChars="200"/>
        <w:rPr>
          <w:rStyle w:val="24"/>
          <w:rFonts w:ascii="Times New Roman" w:hAnsi="Times New Roman" w:eastAsia="方正黑体_GBK" w:cs="Times New Roman"/>
          <w:b w:val="0"/>
          <w:bCs/>
          <w:spacing w:val="-4"/>
        </w:rPr>
      </w:pPr>
      <w:bookmarkStart w:id="114" w:name="_Toc9640"/>
    </w:p>
    <w:p w14:paraId="20A048A4">
      <w:pPr>
        <w:pStyle w:val="5"/>
        <w:keepNext w:val="0"/>
        <w:keepLines w:val="0"/>
        <w:spacing w:before="0" w:after="0" w:line="240" w:lineRule="auto"/>
        <w:ind w:firstLine="624" w:firstLineChars="200"/>
        <w:rPr>
          <w:rStyle w:val="24"/>
          <w:rFonts w:ascii="Times New Roman" w:hAnsi="Times New Roman" w:eastAsia="方正黑体_GBK" w:cs="Times New Roman"/>
          <w:b w:val="0"/>
          <w:bCs/>
          <w:spacing w:val="-4"/>
        </w:rPr>
      </w:pPr>
      <w:bookmarkStart w:id="115" w:name="_Toc32338_WPSOffice_Level2"/>
      <w:bookmarkStart w:id="116" w:name="_Toc12373"/>
      <w:bookmarkStart w:id="117" w:name="_Toc11630"/>
      <w:r>
        <w:rPr>
          <w:rStyle w:val="24"/>
          <w:rFonts w:ascii="Times New Roman" w:hAnsi="Times New Roman" w:eastAsia="方正黑体_GBK" w:cs="Times New Roman"/>
          <w:b w:val="0"/>
          <w:bCs/>
          <w:spacing w:val="-4"/>
        </w:rPr>
        <w:t>一、指导思想</w:t>
      </w:r>
      <w:bookmarkEnd w:id="114"/>
      <w:bookmarkEnd w:id="115"/>
      <w:bookmarkEnd w:id="116"/>
      <w:bookmarkEnd w:id="117"/>
    </w:p>
    <w:p w14:paraId="36473017">
      <w:pPr>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高举中国特色社会主义伟大旗帜，深入贯彻党的十九大和十九届二中、三中、四中、五中、六中全会精神，坚持以习近平新时代中国特色社会主义思想、习近平总书记关于市场监管的重要论述为指导，全面贯彻党的基本理论、基本路线、基本方略，统筹推进“五位一体”总体布局，协调推进“四个全面”战略布局，深入贯彻习近平总书记对重庆提出的营造良好政治生态，坚持“两点”定位、“两地”“两高”目标、发挥“三个作用”和推动成渝地区双城经济圈建设等重要指示要求，准确把握新发展阶段，深入践行新发展理念，积极融入新发展格局，切实担当新发展使命。以深化“放管服”改革为着力点，重点优化市场准入、竞争和消费环境，实施质量强县、知识产权、标准化和食品安全战略，以“建立最严谨的标准、实施最严格的监管、实行最严厉的处罚、坚持最严肃的问责”“四个最严”为遵循，提升食品、药品、特种设备和重点工业产品安全保障水平，改革监管体制机制，创新监管方法手段，加快推进市场监管治理体系和治理能力现代化建设，以市场监管高质量推动全县经济社会高质量发展。</w:t>
      </w:r>
    </w:p>
    <w:p w14:paraId="0B85E287">
      <w:pPr>
        <w:pStyle w:val="5"/>
        <w:keepNext w:val="0"/>
        <w:keepLines w:val="0"/>
        <w:spacing w:before="0" w:after="0" w:line="240" w:lineRule="auto"/>
        <w:ind w:firstLine="624" w:firstLineChars="200"/>
        <w:rPr>
          <w:rStyle w:val="24"/>
          <w:rFonts w:ascii="Times New Roman" w:hAnsi="Times New Roman" w:eastAsia="方正黑体_GBK" w:cs="Times New Roman"/>
          <w:b w:val="0"/>
          <w:bCs/>
          <w:spacing w:val="-4"/>
        </w:rPr>
      </w:pPr>
      <w:bookmarkStart w:id="118" w:name="_Toc12146"/>
      <w:bookmarkStart w:id="119" w:name="_Toc7054"/>
      <w:bookmarkStart w:id="120" w:name="_Toc15253"/>
      <w:bookmarkStart w:id="121" w:name="_Toc26713_WPSOffice_Level2"/>
      <w:r>
        <w:rPr>
          <w:rStyle w:val="24"/>
          <w:rFonts w:ascii="Times New Roman" w:hAnsi="Times New Roman" w:eastAsia="方正黑体_GBK" w:cs="Times New Roman"/>
          <w:b w:val="0"/>
          <w:bCs/>
          <w:spacing w:val="-4"/>
        </w:rPr>
        <w:t>二、基本原则</w:t>
      </w:r>
      <w:bookmarkEnd w:id="118"/>
      <w:bookmarkEnd w:id="119"/>
      <w:bookmarkEnd w:id="120"/>
      <w:bookmarkEnd w:id="121"/>
    </w:p>
    <w:p w14:paraId="10B2BB4C">
      <w:pPr>
        <w:ind w:firstLine="643" w:firstLineChars="200"/>
        <w:rPr>
          <w:rFonts w:ascii="Times New Roman" w:hAnsi="Times New Roman" w:cs="Times New Roman"/>
          <w:kern w:val="0"/>
          <w:szCs w:val="32"/>
        </w:rPr>
      </w:pPr>
      <w:r>
        <w:rPr>
          <w:rFonts w:ascii="Times New Roman" w:hAnsi="Times New Roman" w:eastAsia="方正仿宋_GBK" w:cs="Times New Roman"/>
          <w:b/>
          <w:bCs/>
          <w:kern w:val="0"/>
          <w:szCs w:val="32"/>
        </w:rPr>
        <w:t>——坚持党的全面领导。</w:t>
      </w:r>
      <w:r>
        <w:rPr>
          <w:rFonts w:hint="eastAsia" w:ascii="Times New Roman" w:hAnsi="Times New Roman" w:eastAsia="方正仿宋_GBK" w:cs="Times New Roman"/>
          <w:bCs/>
          <w:kern w:val="0"/>
          <w:szCs w:val="32"/>
        </w:rPr>
        <w:t>学习贯彻习近平新时代中国特色社会主义思想</w:t>
      </w:r>
      <w:r>
        <w:rPr>
          <w:rFonts w:ascii="Times New Roman" w:hAnsi="Times New Roman" w:eastAsia="方正仿宋_GBK" w:cs="Times New Roman"/>
          <w:bCs/>
          <w:kern w:val="0"/>
          <w:szCs w:val="32"/>
        </w:rPr>
        <w:t>和习近平总书记关于市场监管的重要论述，</w:t>
      </w:r>
      <w:r>
        <w:rPr>
          <w:rFonts w:ascii="Times New Roman" w:hAnsi="Times New Roman" w:eastAsia="方正仿宋_GBK" w:cs="Times New Roman"/>
        </w:rPr>
        <w:t>增强“四个意识”、坚定“四个自信”。</w:t>
      </w:r>
      <w:r>
        <w:rPr>
          <w:rFonts w:ascii="Times New Roman" w:hAnsi="Times New Roman" w:eastAsia="方正仿宋_GBK" w:cs="Times New Roman"/>
          <w:kern w:val="0"/>
          <w:szCs w:val="32"/>
        </w:rPr>
        <w:t>加强党对市场监管治理体系和治理能力现代化的全面领导，充分发挥全面从严治党引领保障作用，坚决做到“两个维护”，始终胸怀“国之大者”，不折不扣把党中央决策部署落到实处，不断提高贯彻新发展理念、构建新发展格局的能力和水平，为实现市场监管高质量发展提供根本保障。</w:t>
      </w:r>
    </w:p>
    <w:p w14:paraId="40F3B9D2">
      <w:pPr>
        <w:ind w:firstLine="643" w:firstLineChars="200"/>
        <w:rPr>
          <w:rFonts w:ascii="Times New Roman" w:hAnsi="Times New Roman" w:eastAsia="黑体" w:cs="Times New Roman"/>
          <w:szCs w:val="32"/>
        </w:rPr>
      </w:pPr>
      <w:r>
        <w:rPr>
          <w:rFonts w:ascii="Times New Roman" w:hAnsi="Times New Roman" w:eastAsia="方正仿宋_GBK" w:cs="Times New Roman"/>
          <w:b/>
          <w:bCs/>
          <w:kern w:val="0"/>
          <w:szCs w:val="32"/>
        </w:rPr>
        <w:t>——坚持以人民为中心。</w:t>
      </w:r>
      <w:r>
        <w:rPr>
          <w:rFonts w:ascii="Times New Roman" w:hAnsi="Times New Roman" w:eastAsia="方正仿宋_GBK" w:cs="Times New Roman"/>
          <w:kern w:val="0"/>
          <w:szCs w:val="32"/>
        </w:rPr>
        <w:t>坚持人民主体地位，始终做到市场监管为了人民、市场监管依靠人民、市场监管成果由人民共享，维护人民根本利益，激发全体人民积极性、主动性、创造性，促进社会公平，增进民生福祉，不断实现人民对美好生活的向往，不断增强人民群众的幸福感、获得感、安全感。</w:t>
      </w:r>
    </w:p>
    <w:p w14:paraId="4E91E2C1">
      <w:pPr>
        <w:ind w:firstLine="643" w:firstLineChars="200"/>
        <w:rPr>
          <w:rFonts w:ascii="Times New Roman" w:hAnsi="Times New Roman" w:eastAsia="方正仿宋_GBK" w:cs="Times New Roman"/>
          <w:szCs w:val="32"/>
        </w:rPr>
      </w:pPr>
      <w:r>
        <w:rPr>
          <w:rFonts w:ascii="Times New Roman" w:hAnsi="Times New Roman" w:eastAsia="方正仿宋_GBK" w:cs="Times New Roman"/>
          <w:b/>
          <w:bCs/>
          <w:kern w:val="0"/>
          <w:szCs w:val="32"/>
        </w:rPr>
        <w:t>——坚持新发展理念。</w:t>
      </w:r>
      <w:r>
        <w:rPr>
          <w:rFonts w:ascii="Times New Roman" w:hAnsi="Times New Roman" w:eastAsia="方正仿宋_GBK" w:cs="Times New Roman"/>
          <w:kern w:val="0"/>
          <w:szCs w:val="32"/>
        </w:rPr>
        <w:t>坚定不移把新发展理念贯穿市场监管治理体系和治理能力现代化建设全过程，主动融入新发展格局，提升市场监管效能，推动质量变革、效率变革、动力变革，实现市场监管更高质量、更有效率、更加公平、更可持续、更为安全。</w:t>
      </w:r>
    </w:p>
    <w:p w14:paraId="6AC0CCED">
      <w:pPr>
        <w:ind w:firstLine="643" w:firstLineChars="200"/>
        <w:rPr>
          <w:rFonts w:ascii="Times New Roman" w:hAnsi="Times New Roman" w:eastAsia="方正仿宋_GBK" w:cs="Times New Roman"/>
          <w:szCs w:val="32"/>
        </w:rPr>
      </w:pPr>
      <w:r>
        <w:rPr>
          <w:rFonts w:ascii="Times New Roman" w:hAnsi="Times New Roman" w:eastAsia="方正仿宋_GBK" w:cs="Times New Roman"/>
          <w:b/>
          <w:bCs/>
          <w:kern w:val="0"/>
          <w:szCs w:val="32"/>
        </w:rPr>
        <w:t>——坚持服务大局。</w:t>
      </w:r>
      <w:r>
        <w:rPr>
          <w:rFonts w:ascii="Times New Roman" w:hAnsi="Times New Roman" w:eastAsia="方正仿宋_GBK" w:cs="Times New Roman"/>
          <w:szCs w:val="32"/>
        </w:rPr>
        <w:t>增强战略意识，强化全局观念，更加自觉地把市场监管工作放到全县经济社会发展全局中去谋划和把握。围绕高质量发展，着力实施质量强县战略，进一步提升产品和服务质量；围绕创新驱动发展，着力推进知识产权强县建设，进一步增强产业核心竞争力；围绕优化营商环境，着力深化“放管服”改革，进一步创造公平竞争的制度环境。围绕形成统一开放、竞争有序的大市场，着力改善消费环境，进一步释放消费潜力；围绕实施食品安全战略，着力推进食品安全建设，进一步捍卫人民“舌尖上的安全”。</w:t>
      </w:r>
    </w:p>
    <w:p w14:paraId="70549D62">
      <w:pPr>
        <w:ind w:firstLine="643" w:firstLineChars="200"/>
        <w:rPr>
          <w:rFonts w:ascii="Times New Roman" w:hAnsi="Times New Roman" w:eastAsia="方正仿宋_GBK" w:cs="Times New Roman"/>
          <w:bCs/>
          <w:szCs w:val="32"/>
        </w:rPr>
      </w:pPr>
      <w:r>
        <w:rPr>
          <w:rFonts w:ascii="Times New Roman" w:hAnsi="Times New Roman" w:eastAsia="方正仿宋_GBK" w:cs="Times New Roman"/>
          <w:b/>
          <w:bCs/>
          <w:kern w:val="0"/>
          <w:szCs w:val="32"/>
        </w:rPr>
        <w:t>——坚持依法行政。</w:t>
      </w:r>
      <w:r>
        <w:rPr>
          <w:rFonts w:ascii="Times New Roman" w:hAnsi="Times New Roman" w:eastAsia="方正仿宋_GBK" w:cs="Times New Roman"/>
          <w:szCs w:val="32"/>
        </w:rPr>
        <w:t>坚持把依法行政作为严格履职的重要准则和严格监管的重要保障，牢固树立依法监管理念。强化法治思维，严格依据法定程序、权限、职责办事，按照“谁主管谁负责、谁审批谁负责”的原则，厘清职能边界、明确权责范围，切实做到法定职责必须为、法无授权不可为。强化法治约束，按照建设法治政府的要求，切实做到严格规范公正文明执法，推动市场监管工作全面纳入法治轨道。强化法治保障，坚持把依法监管作为市场监管部门固根本、强基础、利长远的重要支撑，更好地发挥法治在市场监管中的保障性作用，为全面规范市场秩序保驾护航。</w:t>
      </w:r>
    </w:p>
    <w:p w14:paraId="2D499AA1">
      <w:pPr>
        <w:ind w:firstLine="643" w:firstLineChars="200"/>
        <w:rPr>
          <w:rFonts w:ascii="Times New Roman" w:hAnsi="Times New Roman" w:eastAsia="方正仿宋_GBK" w:cs="Times New Roman"/>
          <w:bCs/>
          <w:szCs w:val="32"/>
        </w:rPr>
      </w:pPr>
      <w:r>
        <w:rPr>
          <w:rFonts w:ascii="Times New Roman" w:hAnsi="Times New Roman" w:eastAsia="方正仿宋_GBK" w:cs="Times New Roman"/>
          <w:b/>
          <w:bCs/>
          <w:kern w:val="0"/>
          <w:szCs w:val="32"/>
        </w:rPr>
        <w:t>——坚持改革创新。</w:t>
      </w:r>
      <w:r>
        <w:rPr>
          <w:rFonts w:ascii="Times New Roman" w:hAnsi="Times New Roman" w:eastAsia="方正仿宋_GBK" w:cs="Times New Roman"/>
          <w:szCs w:val="32"/>
        </w:rPr>
        <w:t>坚定不移推进改革，坚决破除制约市场监管高质量发展、创造高品质生活的体制机制，坚持用改革创新的方法来破解全县市场监管的各种观念桎梏、体制障碍和瓶颈制约。强化改革创新思维，凡是不适应高质量发展要求的理念、思路、做法，坚决改革；凡是不符合现代市场体系要求的体制、机制、模式，坚决创新。</w:t>
      </w:r>
    </w:p>
    <w:p w14:paraId="5E1F53F1">
      <w:pPr>
        <w:ind w:firstLine="643" w:firstLineChars="200"/>
        <w:rPr>
          <w:rFonts w:ascii="Times New Roman" w:hAnsi="Times New Roman" w:eastAsia="方正仿宋_GBK" w:cs="Times New Roman"/>
          <w:szCs w:val="32"/>
        </w:rPr>
      </w:pPr>
      <w:r>
        <w:rPr>
          <w:rFonts w:ascii="Times New Roman" w:hAnsi="Times New Roman" w:eastAsia="方正仿宋_GBK" w:cs="Times New Roman"/>
          <w:b/>
          <w:bCs/>
          <w:kern w:val="0"/>
          <w:szCs w:val="32"/>
        </w:rPr>
        <w:t>——坚持系统观念。</w:t>
      </w:r>
      <w:r>
        <w:rPr>
          <w:rFonts w:ascii="Times New Roman" w:hAnsi="Times New Roman" w:eastAsia="方正仿宋_GBK" w:cs="Times New Roman"/>
          <w:szCs w:val="32"/>
        </w:rPr>
        <w:t>更加注重从全局谋划一域、以一域服务全局，着力固根基、扬优势、补短板、强弱项，注重防范化解重大风险挑战，实现护航经济社会发展质量、结构、规模、速度、效益、安全相统一。</w:t>
      </w:r>
    </w:p>
    <w:p w14:paraId="492CE673">
      <w:pPr>
        <w:pStyle w:val="5"/>
        <w:keepNext w:val="0"/>
        <w:keepLines w:val="0"/>
        <w:spacing w:before="0" w:after="0" w:line="240" w:lineRule="auto"/>
        <w:ind w:firstLine="624" w:firstLineChars="200"/>
        <w:rPr>
          <w:rStyle w:val="24"/>
          <w:rFonts w:ascii="Times New Roman" w:hAnsi="Times New Roman" w:eastAsia="方正黑体_GBK" w:cs="Times New Roman"/>
          <w:b w:val="0"/>
          <w:bCs/>
          <w:spacing w:val="-4"/>
        </w:rPr>
      </w:pPr>
      <w:bookmarkStart w:id="122" w:name="_Toc24991"/>
      <w:bookmarkStart w:id="123" w:name="_Toc24313"/>
      <w:bookmarkStart w:id="124" w:name="_Toc22308"/>
      <w:bookmarkStart w:id="125" w:name="_Toc8924_WPSOffice_Level2"/>
      <w:r>
        <w:rPr>
          <w:rStyle w:val="24"/>
          <w:rFonts w:ascii="Times New Roman" w:hAnsi="Times New Roman" w:eastAsia="方正黑体_GBK" w:cs="Times New Roman"/>
          <w:b w:val="0"/>
          <w:bCs/>
          <w:spacing w:val="-4"/>
        </w:rPr>
        <w:t>三、发展定位</w:t>
      </w:r>
      <w:bookmarkEnd w:id="122"/>
      <w:bookmarkEnd w:id="123"/>
      <w:bookmarkEnd w:id="124"/>
      <w:bookmarkEnd w:id="125"/>
    </w:p>
    <w:p w14:paraId="21915E89">
      <w:pPr>
        <w:ind w:firstLine="640" w:firstLineChars="200"/>
        <w:jc w:val="left"/>
        <w:rPr>
          <w:rFonts w:ascii="Times New Roman" w:hAnsi="Times New Roman" w:eastAsia="方正仿宋_GBK" w:cs="Times New Roman"/>
        </w:rPr>
      </w:pPr>
      <w:r>
        <w:rPr>
          <w:rFonts w:ascii="Times New Roman" w:hAnsi="Times New Roman" w:eastAsia="方正仿宋_GBK" w:cs="Times New Roman"/>
          <w:kern w:val="0"/>
          <w:szCs w:val="32"/>
        </w:rPr>
        <w:t>到2025年，基本建成统一开放、竞争有序、诚信守法、监管有力的高标准市场体系，形成创新创业、公平竞争、安全放心的市场营商环境，形成市场导向、标准引领、质量为本的质量强县体系，形成法治保障、科技支撑、多元共治的市场治理格局。</w:t>
      </w:r>
    </w:p>
    <w:p w14:paraId="7F4719A6">
      <w:pPr>
        <w:pStyle w:val="5"/>
        <w:keepNext w:val="0"/>
        <w:keepLines w:val="0"/>
        <w:spacing w:before="0" w:after="0" w:line="240" w:lineRule="auto"/>
        <w:ind w:firstLine="624" w:firstLineChars="200"/>
        <w:rPr>
          <w:rStyle w:val="24"/>
          <w:rFonts w:ascii="Times New Roman" w:hAnsi="Times New Roman" w:eastAsia="方正黑体_GBK" w:cs="Times New Roman"/>
          <w:b w:val="0"/>
          <w:bCs/>
          <w:spacing w:val="-4"/>
        </w:rPr>
      </w:pPr>
      <w:bookmarkStart w:id="126" w:name="_Toc5394"/>
      <w:bookmarkStart w:id="127" w:name="_Toc6272_WPSOffice_Level2"/>
      <w:bookmarkStart w:id="128" w:name="_Toc15853"/>
      <w:bookmarkStart w:id="129" w:name="_Toc15413"/>
      <w:r>
        <w:rPr>
          <w:rStyle w:val="24"/>
          <w:rFonts w:ascii="Times New Roman" w:hAnsi="Times New Roman" w:eastAsia="方正黑体_GBK" w:cs="Times New Roman"/>
          <w:b w:val="0"/>
          <w:bCs/>
          <w:spacing w:val="-4"/>
        </w:rPr>
        <w:t>四、总体目标</w:t>
      </w:r>
      <w:bookmarkEnd w:id="126"/>
      <w:bookmarkEnd w:id="127"/>
      <w:bookmarkEnd w:id="128"/>
      <w:bookmarkEnd w:id="129"/>
    </w:p>
    <w:p w14:paraId="3AADD155">
      <w:pPr>
        <w:ind w:firstLine="643" w:firstLineChars="200"/>
        <w:jc w:val="left"/>
        <w:rPr>
          <w:rFonts w:ascii="Times New Roman" w:hAnsi="Times New Roman" w:eastAsia="方正仿宋_GBK" w:cs="Times New Roman"/>
          <w:kern w:val="0"/>
          <w:szCs w:val="32"/>
        </w:rPr>
      </w:pPr>
      <w:r>
        <w:rPr>
          <w:rFonts w:ascii="Times New Roman" w:hAnsi="Times New Roman" w:eastAsia="方正仿宋_GBK" w:cs="Times New Roman"/>
          <w:b/>
          <w:bCs/>
          <w:kern w:val="0"/>
          <w:szCs w:val="32"/>
        </w:rPr>
        <w:t>——市场主体更加充满活力。</w:t>
      </w:r>
      <w:r>
        <w:rPr>
          <w:rFonts w:ascii="Times New Roman" w:hAnsi="Times New Roman" w:eastAsia="方正仿宋_GBK" w:cs="Times New Roman"/>
          <w:kern w:val="0"/>
          <w:szCs w:val="32"/>
        </w:rPr>
        <w:t>市场准入制度进一步完善，公平统一、开放透明的市场准入规则基本形成。各种行政审批大幅减少，商事登记前置、后置审批事项大幅减少。市场活力持续激发，大众创业、万众创新的市场环境不断改善。开办企业时限进一步压缩，新增市场主体稳步增长、活跃发展，新设企业生命周期延长，企业数量增长显著。</w:t>
      </w:r>
    </w:p>
    <w:p w14:paraId="1D0D45C6">
      <w:pPr>
        <w:ind w:firstLine="643" w:firstLineChars="200"/>
        <w:jc w:val="left"/>
        <w:rPr>
          <w:rFonts w:ascii="Times New Roman" w:hAnsi="Times New Roman" w:eastAsia="方正仿宋_GBK" w:cs="Times New Roman"/>
          <w:kern w:val="0"/>
          <w:szCs w:val="32"/>
        </w:rPr>
      </w:pPr>
      <w:r>
        <w:rPr>
          <w:rFonts w:ascii="Times New Roman" w:hAnsi="Times New Roman" w:eastAsia="方正仿宋_GBK" w:cs="Times New Roman"/>
          <w:b/>
          <w:bCs/>
          <w:kern w:val="0"/>
          <w:szCs w:val="32"/>
        </w:rPr>
        <w:t>——市场化、法治化、国际化营商环境逐步形成。</w:t>
      </w:r>
      <w:r>
        <w:rPr>
          <w:rFonts w:ascii="Times New Roman" w:hAnsi="Times New Roman" w:eastAsia="方正仿宋_GBK" w:cs="Times New Roman"/>
          <w:kern w:val="0"/>
          <w:szCs w:val="32"/>
        </w:rPr>
        <w:t>坚持放活与管好相结合，做到放而不乱、活而有序。公平竞争审查制度全面实施，反垄断和反不正当竞争执法成效显著，侵权假冒、地方保护、行业壁垒、企业垄断得到有效治理，公平竞争、优胜劣汰机制基本建立。统一大市场进一步完善，市场秩序明显改善，商标品牌作用充分发挥，市场主体质量显著提升。</w:t>
      </w:r>
    </w:p>
    <w:p w14:paraId="52C84E07">
      <w:pPr>
        <w:ind w:firstLine="643"/>
        <w:rPr>
          <w:rFonts w:ascii="Times New Roman" w:hAnsi="Times New Roman" w:eastAsia="方正仿宋_GBK" w:cs="Times New Roman"/>
          <w:kern w:val="0"/>
          <w:szCs w:val="32"/>
        </w:rPr>
      </w:pPr>
      <w:r>
        <w:rPr>
          <w:rFonts w:ascii="Times New Roman" w:hAnsi="Times New Roman" w:eastAsia="方正仿宋_GBK" w:cs="Times New Roman"/>
          <w:b/>
          <w:bCs/>
          <w:kern w:val="0"/>
          <w:szCs w:val="32"/>
        </w:rPr>
        <w:t>——合法权益保护更加有效。</w:t>
      </w:r>
      <w:r>
        <w:rPr>
          <w:rFonts w:ascii="Times New Roman" w:hAnsi="Times New Roman" w:eastAsia="方正仿宋_GBK" w:cs="Times New Roman"/>
        </w:rPr>
        <w:t>推进消费维权制度建设，</w:t>
      </w:r>
      <w:r>
        <w:rPr>
          <w:rFonts w:ascii="Times New Roman" w:hAnsi="Times New Roman" w:eastAsia="方正仿宋_GBK" w:cs="Times New Roman"/>
          <w:kern w:val="0"/>
          <w:szCs w:val="32"/>
        </w:rPr>
        <w:t>消费维权的法律体系进一步完善，消费维权机制进一步健全。商品和服务消费的质量安全水平全面提升，</w:t>
      </w:r>
      <w:r>
        <w:rPr>
          <w:rFonts w:ascii="Times New Roman" w:hAnsi="Times New Roman" w:eastAsia="方正仿宋_GBK" w:cs="Times New Roman"/>
          <w:szCs w:val="32"/>
        </w:rPr>
        <w:t>在关系百姓生命财产安全的食品、药品等领域，对侵害消费者权益的市场主体依法实施惩罚性赔偿。</w:t>
      </w:r>
      <w:r>
        <w:rPr>
          <w:rFonts w:ascii="Times New Roman" w:hAnsi="Times New Roman" w:eastAsia="方正仿宋_GBK" w:cs="Times New Roman"/>
          <w:snapToGrid w:val="0"/>
          <w:kern w:val="0"/>
          <w:szCs w:val="32"/>
        </w:rPr>
        <w:t>倡导健康、智慧、便捷、共享、节约的消费理念，引导消费向智能、绿色、品质化方向转变，带动消费结构升级。</w:t>
      </w:r>
      <w:r>
        <w:rPr>
          <w:rFonts w:ascii="Times New Roman" w:hAnsi="Times New Roman" w:eastAsia="方正仿宋_GBK" w:cs="Times New Roman"/>
          <w:kern w:val="0"/>
          <w:szCs w:val="32"/>
        </w:rPr>
        <w:t>消费者满意度持续提高。</w:t>
      </w:r>
    </w:p>
    <w:p w14:paraId="781D009D">
      <w:pPr>
        <w:ind w:firstLine="643" w:firstLineChars="200"/>
        <w:jc w:val="left"/>
        <w:rPr>
          <w:rFonts w:ascii="Times New Roman" w:hAnsi="Times New Roman" w:eastAsia="方正仿宋_GBK" w:cs="Times New Roman"/>
          <w:kern w:val="0"/>
          <w:szCs w:val="32"/>
        </w:rPr>
      </w:pPr>
      <w:r>
        <w:rPr>
          <w:rFonts w:ascii="Times New Roman" w:hAnsi="Times New Roman" w:eastAsia="方正仿宋_GBK" w:cs="Times New Roman"/>
          <w:b/>
          <w:kern w:val="0"/>
          <w:szCs w:val="32"/>
        </w:rPr>
        <w:t>——牢牢守住市场监管安全底线。</w:t>
      </w:r>
      <w:r>
        <w:rPr>
          <w:rFonts w:ascii="Times New Roman" w:hAnsi="Times New Roman" w:eastAsia="方正仿宋_GBK" w:cs="Times New Roman"/>
          <w:kern w:val="0"/>
          <w:szCs w:val="32"/>
        </w:rPr>
        <w:t>严格落实“四个最严”，到2025年，初步建立与县域经济社会发展水平相适应的市场监管安全治理体系，坚决防止食品、药品、特种设备、重点工业产品重特大安全事故，确保不发生区域性、行业性、系统性、源发性事件。</w:t>
      </w:r>
    </w:p>
    <w:p w14:paraId="1B1C2A5F">
      <w:pPr>
        <w:ind w:firstLine="643" w:firstLineChars="200"/>
        <w:jc w:val="left"/>
        <w:rPr>
          <w:rFonts w:ascii="Times New Roman" w:hAnsi="Times New Roman" w:eastAsia="方正仿宋_GBK" w:cs="Times New Roman"/>
          <w:kern w:val="0"/>
          <w:szCs w:val="32"/>
        </w:rPr>
      </w:pPr>
      <w:r>
        <w:rPr>
          <w:rFonts w:ascii="Times New Roman" w:hAnsi="Times New Roman" w:eastAsia="方正仿宋_GBK" w:cs="Times New Roman"/>
          <w:b/>
          <w:bCs/>
          <w:kern w:val="0"/>
          <w:szCs w:val="32"/>
        </w:rPr>
        <w:t>——质量进一步强化提升。</w:t>
      </w:r>
      <w:r>
        <w:rPr>
          <w:rFonts w:ascii="Times New Roman" w:hAnsi="Times New Roman" w:eastAsia="方正仿宋_GBK" w:cs="Times New Roman"/>
          <w:kern w:val="0"/>
          <w:szCs w:val="32"/>
        </w:rPr>
        <w:t>质量强县战略深入人心，企业主体作用充分激发，质量诚信体系和质量基础保障体系初步建立，培育一批品牌形象突出、质量水平一流的生态企业和产业品牌。协助县商务委制定丰都麻辣鸡团体标准，影响力进一步凸显，知名度美誉度不断提高。知识产权意识明显增强，质量大幅提升，知识产权运用水平进一步提升，形成一批知识产权优势产业、优势企业和优势产品。</w:t>
      </w:r>
    </w:p>
    <w:p w14:paraId="3093B836">
      <w:pPr>
        <w:ind w:firstLine="643" w:firstLineChars="200"/>
        <w:jc w:val="left"/>
        <w:rPr>
          <w:rFonts w:ascii="Times New Roman" w:hAnsi="Times New Roman" w:eastAsia="方正仿宋_GBK" w:cs="Times New Roman"/>
          <w:kern w:val="0"/>
          <w:szCs w:val="32"/>
        </w:rPr>
      </w:pPr>
      <w:r>
        <w:rPr>
          <w:rFonts w:ascii="Times New Roman" w:hAnsi="Times New Roman" w:eastAsia="方正仿宋_GBK" w:cs="Times New Roman"/>
          <w:b/>
          <w:bCs/>
          <w:kern w:val="0"/>
          <w:szCs w:val="32"/>
        </w:rPr>
        <w:t>——监管效能持续提高。</w:t>
      </w:r>
      <w:r>
        <w:rPr>
          <w:rFonts w:ascii="Times New Roman" w:hAnsi="Times New Roman" w:eastAsia="方正仿宋_GBK" w:cs="Times New Roman"/>
          <w:kern w:val="0"/>
          <w:szCs w:val="32"/>
        </w:rPr>
        <w:t>市场监管综合执法体制改革全面完成，“谁审批、谁监管，谁主管、谁监管”的监管责任全面落实，协调、配合、齐抓共管的市场监管格局进一步完善，形成统一规范、权责明确、公正高效、法治保障的市场监管和反垄断执法体系。信用监管、大数据监管以及多元共治等新型监管机制进一步完善。</w:t>
      </w:r>
    </w:p>
    <w:p w14:paraId="2109E312">
      <w:pPr>
        <w:ind w:firstLine="643" w:firstLineChars="200"/>
        <w:rPr>
          <w:rFonts w:ascii="Times New Roman" w:hAnsi="Times New Roman" w:eastAsia="方正仿宋_GBK" w:cs="Times New Roman"/>
          <w:szCs w:val="32"/>
        </w:rPr>
      </w:pPr>
      <w:r>
        <w:rPr>
          <w:rFonts w:ascii="Times New Roman" w:hAnsi="Times New Roman" w:eastAsia="方正仿宋_GBK" w:cs="Times New Roman"/>
          <w:b/>
          <w:bCs/>
          <w:kern w:val="0"/>
          <w:szCs w:val="32"/>
        </w:rPr>
        <w:t>——服务乡村振兴迈上新台阶。</w:t>
      </w:r>
      <w:r>
        <w:rPr>
          <w:rFonts w:ascii="Times New Roman" w:hAnsi="Times New Roman" w:eastAsia="方正仿宋_GBK" w:cs="Times New Roman"/>
          <w:szCs w:val="32"/>
        </w:rPr>
        <w:t>围绕丰都麻辣鸡发展目标，</w:t>
      </w:r>
      <w:r>
        <w:rPr>
          <w:rFonts w:ascii="Times New Roman" w:hAnsi="Times New Roman" w:eastAsia="方正仿宋_GBK" w:cs="Times New Roman"/>
        </w:rPr>
        <w:t>推动品种培优、品质提升、品牌打造和标准化生产，推动农业对外开放，提高农业质量、效益和竞争力。加强农业知识产权保护，推动农业农村创新驱动发展。鼓励企业获得国际通行的农产品认证，增强乡村产业竞争力。</w:t>
      </w:r>
      <w:r>
        <w:rPr>
          <w:rFonts w:ascii="Times New Roman" w:hAnsi="Times New Roman" w:eastAsia="方正仿宋_GBK" w:cs="Times New Roman"/>
          <w:szCs w:val="32"/>
        </w:rPr>
        <w:t>着眼质量提升，着力标准化建设和品牌建设，完成仙女湖乡村旅游标准化市级示范点打造，促进农文旅深度融合，在南天湖国际旅游度假区发展、农文旅产品研发和推广等方面推动质量变革、效率变革、动力变革，实现更高质量、更有效率、更加公平、更可持续、更为安全的发展。贯彻落实乡村振兴国家战略，服务丰都乡村振兴迈上新台阶。</w:t>
      </w:r>
    </w:p>
    <w:p w14:paraId="135D1017">
      <w:pPr>
        <w:pStyle w:val="5"/>
        <w:keepNext w:val="0"/>
        <w:keepLines w:val="0"/>
        <w:spacing w:before="0" w:after="0" w:line="240" w:lineRule="auto"/>
        <w:ind w:firstLine="624" w:firstLineChars="200"/>
        <w:rPr>
          <w:rStyle w:val="24"/>
          <w:rFonts w:ascii="Times New Roman" w:hAnsi="Times New Roman" w:eastAsia="方正黑体_GBK" w:cs="Times New Roman"/>
          <w:b w:val="0"/>
          <w:bCs/>
          <w:spacing w:val="-4"/>
        </w:rPr>
      </w:pPr>
      <w:bookmarkStart w:id="130" w:name="_Toc27705"/>
      <w:bookmarkStart w:id="131" w:name="_Toc4068"/>
      <w:bookmarkStart w:id="132" w:name="_Toc31607"/>
      <w:bookmarkStart w:id="133" w:name="_Toc23362_WPSOffice_Level2"/>
      <w:r>
        <w:rPr>
          <w:rStyle w:val="24"/>
          <w:rFonts w:ascii="Times New Roman" w:hAnsi="Times New Roman" w:eastAsia="方正黑体_GBK" w:cs="Times New Roman"/>
          <w:b w:val="0"/>
          <w:bCs/>
          <w:spacing w:val="-4"/>
        </w:rPr>
        <w:t>五、主要指标</w:t>
      </w:r>
      <w:bookmarkEnd w:id="130"/>
      <w:bookmarkEnd w:id="131"/>
      <w:bookmarkEnd w:id="132"/>
      <w:bookmarkEnd w:id="133"/>
    </w:p>
    <w:p w14:paraId="25CC1BDD">
      <w:pPr>
        <w:pStyle w:val="31"/>
        <w:ind w:firstLine="640"/>
        <w:rPr>
          <w:rFonts w:ascii="Times New Roman" w:hAnsi="Times New Roman" w:eastAsia="方正仿宋_GBK" w:cs="Times New Roman"/>
          <w:szCs w:val="32"/>
        </w:rPr>
      </w:pPr>
      <w:r>
        <w:rPr>
          <w:rFonts w:ascii="Times New Roman" w:hAnsi="Times New Roman" w:eastAsia="方正仿宋_GBK" w:cs="Times New Roman"/>
          <w:szCs w:val="32"/>
        </w:rPr>
        <w:t>围绕高标准市场体系建设，紧扣市场主体更加充满活力，市场化、法治化、国际化营商环境逐步形成，合法权益保护更加有效，牢牢守住安全底线，质量进一步强化提升，监管效能持续提高，服务乡村振兴迈上新台阶的总体目标，将</w:t>
      </w:r>
      <w:r>
        <w:rPr>
          <w:rFonts w:ascii="Times New Roman" w:hAnsi="Times New Roman" w:eastAsia="方正仿宋_GBK" w:cs="Times New Roman"/>
          <w:szCs w:val="32"/>
          <w:lang w:val="zh-CN"/>
        </w:rPr>
        <w:t>丰都县市场监管现代化“十四五”主要指标</w:t>
      </w:r>
      <w:r>
        <w:rPr>
          <w:rFonts w:ascii="Times New Roman" w:hAnsi="Times New Roman" w:eastAsia="方正仿宋_GBK" w:cs="Times New Roman"/>
          <w:szCs w:val="32"/>
        </w:rPr>
        <w:t>分解如下：</w:t>
      </w:r>
    </w:p>
    <w:p w14:paraId="1485658F">
      <w:pPr>
        <w:pStyle w:val="31"/>
        <w:ind w:firstLine="640"/>
        <w:rPr>
          <w:rFonts w:ascii="Times New Roman" w:hAnsi="Times New Roman" w:eastAsia="方正仿宋_GBK" w:cs="Times New Roman"/>
          <w:szCs w:val="32"/>
        </w:rPr>
      </w:pPr>
    </w:p>
    <w:p w14:paraId="71D938D5">
      <w:pPr>
        <w:adjustRightInd w:val="0"/>
        <w:snapToGrid w:val="0"/>
        <w:jc w:val="center"/>
        <w:outlineLvl w:val="2"/>
        <w:rPr>
          <w:rFonts w:ascii="Times New Roman" w:hAnsi="Times New Roman" w:eastAsia="方正黑体_GBK" w:cs="Times New Roman"/>
          <w:szCs w:val="32"/>
          <w:lang w:val="zh-CN"/>
        </w:rPr>
      </w:pPr>
      <w:bookmarkStart w:id="134" w:name="_Toc11664"/>
      <w:bookmarkStart w:id="135" w:name="_Toc2864"/>
      <w:bookmarkStart w:id="136" w:name="_Toc28435"/>
      <w:bookmarkStart w:id="137" w:name="_Toc83839171"/>
      <w:bookmarkStart w:id="138" w:name="_Toc22514"/>
      <w:bookmarkStart w:id="139" w:name="_Toc28998"/>
      <w:bookmarkStart w:id="140" w:name="_Toc81234116"/>
      <w:bookmarkStart w:id="141" w:name="_Toc29531"/>
      <w:bookmarkStart w:id="142" w:name="_Toc7802"/>
      <w:bookmarkStart w:id="143" w:name="_Toc674"/>
      <w:bookmarkStart w:id="144" w:name="_Toc11869_WPSOffice_Level2"/>
      <w:bookmarkStart w:id="145" w:name="_Toc24790"/>
      <w:bookmarkStart w:id="146" w:name="_Toc83041363"/>
      <w:bookmarkStart w:id="147" w:name="_Toc18595"/>
      <w:bookmarkStart w:id="148" w:name="_Toc83281519"/>
      <w:bookmarkStart w:id="149" w:name="_Toc27455"/>
      <w:bookmarkStart w:id="150" w:name="_Toc17949"/>
      <w:bookmarkStart w:id="151" w:name="_Toc4205"/>
      <w:bookmarkStart w:id="152" w:name="_Toc29299"/>
      <w:bookmarkStart w:id="153" w:name="_Toc18229"/>
      <w:bookmarkStart w:id="154" w:name="_Toc15118"/>
      <w:bookmarkStart w:id="155" w:name="_Toc21315"/>
      <w:bookmarkStart w:id="156" w:name="_Toc31527"/>
      <w:bookmarkStart w:id="157" w:name="_Toc22864"/>
      <w:bookmarkStart w:id="158" w:name="_Toc31706"/>
      <w:r>
        <w:rPr>
          <w:rFonts w:ascii="Times New Roman" w:hAnsi="Times New Roman" w:eastAsia="方正黑体_GBK" w:cs="Times New Roman"/>
          <w:bCs/>
          <w:szCs w:val="32"/>
          <w:lang w:val="zh-CN"/>
        </w:rPr>
        <w:t>丰都县</w:t>
      </w:r>
      <w:r>
        <w:rPr>
          <w:rFonts w:ascii="Times New Roman" w:hAnsi="Times New Roman" w:eastAsia="方正黑体_GBK" w:cs="Times New Roman"/>
          <w:szCs w:val="32"/>
          <w:lang w:val="zh-CN"/>
        </w:rPr>
        <w:t>市场监管现代化“十四五”规划主要指标</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tbl>
      <w:tblPr>
        <w:tblStyle w:val="21"/>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4967"/>
        <w:gridCol w:w="1035"/>
        <w:gridCol w:w="1032"/>
        <w:gridCol w:w="1001"/>
      </w:tblGrid>
      <w:tr w14:paraId="6D2B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85" w:type="dxa"/>
            <w:vAlign w:val="center"/>
          </w:tcPr>
          <w:p w14:paraId="7A6375ED">
            <w:pPr>
              <w:adjustRightInd w:val="0"/>
              <w:snapToGrid w:val="0"/>
              <w:spacing w:line="320" w:lineRule="exact"/>
              <w:jc w:val="center"/>
              <w:rPr>
                <w:rFonts w:ascii="Times New Roman" w:hAnsi="Times New Roman" w:eastAsia="方正黑体_GBK" w:cs="Times New Roman"/>
                <w:kern w:val="0"/>
                <w:sz w:val="24"/>
                <w:szCs w:val="24"/>
              </w:rPr>
            </w:pPr>
            <w:r>
              <w:rPr>
                <w:rFonts w:ascii="Times New Roman" w:hAnsi="Times New Roman" w:eastAsia="方正黑体_GBK" w:cs="Times New Roman"/>
                <w:kern w:val="0"/>
                <w:sz w:val="24"/>
                <w:szCs w:val="24"/>
              </w:rPr>
              <w:t>序号</w:t>
            </w:r>
          </w:p>
        </w:tc>
        <w:tc>
          <w:tcPr>
            <w:tcW w:w="4967" w:type="dxa"/>
            <w:vAlign w:val="center"/>
          </w:tcPr>
          <w:p w14:paraId="50EF5C60">
            <w:pPr>
              <w:adjustRightInd w:val="0"/>
              <w:snapToGrid w:val="0"/>
              <w:spacing w:line="320" w:lineRule="exact"/>
              <w:jc w:val="center"/>
              <w:rPr>
                <w:rFonts w:ascii="Times New Roman" w:hAnsi="Times New Roman" w:eastAsia="方正黑体_GBK" w:cs="Times New Roman"/>
                <w:kern w:val="0"/>
                <w:sz w:val="24"/>
                <w:szCs w:val="24"/>
              </w:rPr>
            </w:pPr>
            <w:r>
              <w:rPr>
                <w:rFonts w:ascii="Times New Roman" w:hAnsi="Times New Roman" w:eastAsia="方正黑体_GBK" w:cs="Times New Roman"/>
                <w:kern w:val="0"/>
                <w:sz w:val="24"/>
                <w:szCs w:val="24"/>
              </w:rPr>
              <w:t>指标名称</w:t>
            </w:r>
          </w:p>
        </w:tc>
        <w:tc>
          <w:tcPr>
            <w:tcW w:w="1035" w:type="dxa"/>
            <w:vAlign w:val="center"/>
          </w:tcPr>
          <w:p w14:paraId="29316D5E">
            <w:pPr>
              <w:adjustRightInd w:val="0"/>
              <w:snapToGrid w:val="0"/>
              <w:spacing w:line="320" w:lineRule="exact"/>
              <w:jc w:val="center"/>
              <w:rPr>
                <w:rFonts w:ascii="Times New Roman" w:hAnsi="Times New Roman" w:eastAsia="方正黑体_GBK" w:cs="Times New Roman"/>
                <w:kern w:val="0"/>
                <w:sz w:val="24"/>
                <w:szCs w:val="24"/>
              </w:rPr>
            </w:pPr>
            <w:r>
              <w:rPr>
                <w:rFonts w:ascii="Times New Roman" w:hAnsi="Times New Roman" w:eastAsia="方正黑体_GBK" w:cs="Times New Roman"/>
                <w:kern w:val="0"/>
                <w:sz w:val="24"/>
                <w:szCs w:val="24"/>
              </w:rPr>
              <w:t>2020年</w:t>
            </w:r>
          </w:p>
        </w:tc>
        <w:tc>
          <w:tcPr>
            <w:tcW w:w="1032" w:type="dxa"/>
            <w:vAlign w:val="center"/>
          </w:tcPr>
          <w:p w14:paraId="71462A79">
            <w:pPr>
              <w:adjustRightInd w:val="0"/>
              <w:snapToGrid w:val="0"/>
              <w:spacing w:line="320" w:lineRule="exact"/>
              <w:jc w:val="center"/>
              <w:rPr>
                <w:rFonts w:ascii="Times New Roman" w:hAnsi="Times New Roman" w:eastAsia="方正黑体_GBK" w:cs="Times New Roman"/>
                <w:kern w:val="0"/>
                <w:sz w:val="24"/>
                <w:szCs w:val="24"/>
              </w:rPr>
            </w:pPr>
            <w:r>
              <w:rPr>
                <w:rFonts w:ascii="Times New Roman" w:hAnsi="Times New Roman" w:eastAsia="方正黑体_GBK" w:cs="Times New Roman"/>
                <w:kern w:val="0"/>
                <w:sz w:val="24"/>
                <w:szCs w:val="24"/>
              </w:rPr>
              <w:t>2025年</w:t>
            </w:r>
          </w:p>
        </w:tc>
        <w:tc>
          <w:tcPr>
            <w:tcW w:w="1001" w:type="dxa"/>
            <w:vAlign w:val="center"/>
          </w:tcPr>
          <w:p w14:paraId="6DA1A355">
            <w:pPr>
              <w:adjustRightInd w:val="0"/>
              <w:snapToGrid w:val="0"/>
              <w:spacing w:line="320" w:lineRule="exact"/>
              <w:jc w:val="center"/>
              <w:rPr>
                <w:rFonts w:ascii="Times New Roman" w:hAnsi="Times New Roman" w:eastAsia="方正黑体_GBK" w:cs="Times New Roman"/>
                <w:kern w:val="0"/>
                <w:sz w:val="24"/>
                <w:szCs w:val="24"/>
              </w:rPr>
            </w:pPr>
            <w:r>
              <w:rPr>
                <w:rFonts w:ascii="Times New Roman" w:hAnsi="Times New Roman" w:eastAsia="方正黑体_GBK" w:cs="Times New Roman"/>
                <w:kern w:val="0"/>
                <w:sz w:val="24"/>
                <w:szCs w:val="24"/>
              </w:rPr>
              <w:t>指标</w:t>
            </w:r>
          </w:p>
          <w:p w14:paraId="57177870">
            <w:pPr>
              <w:adjustRightInd w:val="0"/>
              <w:snapToGrid w:val="0"/>
              <w:spacing w:line="320" w:lineRule="exact"/>
              <w:jc w:val="center"/>
              <w:rPr>
                <w:rFonts w:ascii="Times New Roman" w:hAnsi="Times New Roman" w:eastAsia="方正黑体_GBK" w:cs="Times New Roman"/>
                <w:kern w:val="0"/>
                <w:sz w:val="24"/>
                <w:szCs w:val="24"/>
              </w:rPr>
            </w:pPr>
            <w:r>
              <w:rPr>
                <w:rFonts w:ascii="Times New Roman" w:hAnsi="Times New Roman" w:eastAsia="方正黑体_GBK" w:cs="Times New Roman"/>
                <w:kern w:val="0"/>
                <w:sz w:val="24"/>
                <w:szCs w:val="24"/>
              </w:rPr>
              <w:t>属性</w:t>
            </w:r>
          </w:p>
        </w:tc>
      </w:tr>
      <w:tr w14:paraId="75E7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820" w:type="dxa"/>
            <w:gridSpan w:val="5"/>
            <w:vAlign w:val="center"/>
          </w:tcPr>
          <w:p w14:paraId="41AA3615">
            <w:pPr>
              <w:adjustRightInd w:val="0"/>
              <w:snapToGrid w:val="0"/>
              <w:spacing w:line="320" w:lineRule="exact"/>
              <w:rPr>
                <w:rFonts w:ascii="Times New Roman" w:hAnsi="Times New Roman" w:eastAsia="方正仿宋_GBK" w:cs="Times New Roman"/>
                <w:kern w:val="0"/>
                <w:sz w:val="24"/>
                <w:szCs w:val="24"/>
              </w:rPr>
            </w:pPr>
            <w:r>
              <w:rPr>
                <w:rFonts w:ascii="Times New Roman" w:hAnsi="Times New Roman" w:eastAsia="方正仿宋_GBK" w:cs="Times New Roman"/>
                <w:b/>
                <w:bCs/>
                <w:kern w:val="0"/>
                <w:sz w:val="24"/>
                <w:szCs w:val="24"/>
              </w:rPr>
              <w:t>一、市场环境</w:t>
            </w:r>
          </w:p>
        </w:tc>
      </w:tr>
      <w:tr w14:paraId="6785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5" w:type="dxa"/>
            <w:vAlign w:val="center"/>
          </w:tcPr>
          <w:p w14:paraId="50DCAB3B">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4967" w:type="dxa"/>
            <w:vAlign w:val="center"/>
          </w:tcPr>
          <w:p w14:paraId="2560B460">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市场主体总量（万户）</w:t>
            </w:r>
          </w:p>
        </w:tc>
        <w:tc>
          <w:tcPr>
            <w:tcW w:w="1035" w:type="dxa"/>
            <w:vAlign w:val="center"/>
          </w:tcPr>
          <w:p w14:paraId="120731BF">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c>
          <w:tcPr>
            <w:tcW w:w="1032" w:type="dxa"/>
            <w:vAlign w:val="center"/>
          </w:tcPr>
          <w:p w14:paraId="2627596E">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w:t>
            </w:r>
          </w:p>
        </w:tc>
        <w:tc>
          <w:tcPr>
            <w:tcW w:w="1001" w:type="dxa"/>
            <w:vAlign w:val="center"/>
          </w:tcPr>
          <w:p w14:paraId="67B4705F">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预期性</w:t>
            </w:r>
          </w:p>
        </w:tc>
      </w:tr>
      <w:tr w14:paraId="6F08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5" w:type="dxa"/>
            <w:vAlign w:val="center"/>
          </w:tcPr>
          <w:p w14:paraId="2C2F1607">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4967" w:type="dxa"/>
            <w:vAlign w:val="center"/>
          </w:tcPr>
          <w:p w14:paraId="7E1621BC">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千人拥有企业数量（户）</w:t>
            </w:r>
          </w:p>
        </w:tc>
        <w:tc>
          <w:tcPr>
            <w:tcW w:w="1035" w:type="dxa"/>
            <w:vAlign w:val="center"/>
          </w:tcPr>
          <w:p w14:paraId="13B01065">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17.35</w:t>
            </w:r>
          </w:p>
        </w:tc>
        <w:tc>
          <w:tcPr>
            <w:tcW w:w="1032" w:type="dxa"/>
            <w:vAlign w:val="center"/>
          </w:tcPr>
          <w:p w14:paraId="39A3154C">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22.5</w:t>
            </w:r>
          </w:p>
        </w:tc>
        <w:tc>
          <w:tcPr>
            <w:tcW w:w="1001" w:type="dxa"/>
            <w:vAlign w:val="center"/>
          </w:tcPr>
          <w:p w14:paraId="0C08F7EE">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预期性</w:t>
            </w:r>
          </w:p>
        </w:tc>
      </w:tr>
      <w:tr w14:paraId="3647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5" w:type="dxa"/>
            <w:vAlign w:val="center"/>
          </w:tcPr>
          <w:p w14:paraId="1D86DB6C">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4967" w:type="dxa"/>
            <w:vAlign w:val="center"/>
          </w:tcPr>
          <w:p w14:paraId="356A4244">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万人口发明专利拥有量（件）</w:t>
            </w:r>
          </w:p>
        </w:tc>
        <w:tc>
          <w:tcPr>
            <w:tcW w:w="1035" w:type="dxa"/>
            <w:vAlign w:val="center"/>
          </w:tcPr>
          <w:p w14:paraId="647A3D0E">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0.74</w:t>
            </w:r>
          </w:p>
        </w:tc>
        <w:tc>
          <w:tcPr>
            <w:tcW w:w="1032" w:type="dxa"/>
            <w:vAlign w:val="center"/>
          </w:tcPr>
          <w:p w14:paraId="4C6F0C5E">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c>
          <w:tcPr>
            <w:tcW w:w="1001" w:type="dxa"/>
            <w:vAlign w:val="center"/>
          </w:tcPr>
          <w:p w14:paraId="13A79864">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预期性</w:t>
            </w:r>
          </w:p>
        </w:tc>
      </w:tr>
      <w:tr w14:paraId="0B43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5" w:type="dxa"/>
            <w:vAlign w:val="center"/>
          </w:tcPr>
          <w:p w14:paraId="285E237D">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c>
          <w:tcPr>
            <w:tcW w:w="4967" w:type="dxa"/>
            <w:vAlign w:val="center"/>
          </w:tcPr>
          <w:p w14:paraId="58E25019">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sz w:val="24"/>
                <w:szCs w:val="24"/>
              </w:rPr>
              <w:t>每万户市场主体有效注册商标量（件）</w:t>
            </w:r>
          </w:p>
        </w:tc>
        <w:tc>
          <w:tcPr>
            <w:tcW w:w="1035" w:type="dxa"/>
            <w:vAlign w:val="center"/>
          </w:tcPr>
          <w:p w14:paraId="00B36D61">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671</w:t>
            </w:r>
          </w:p>
        </w:tc>
        <w:tc>
          <w:tcPr>
            <w:tcW w:w="1032" w:type="dxa"/>
            <w:vAlign w:val="center"/>
          </w:tcPr>
          <w:p w14:paraId="11E1650E">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750</w:t>
            </w:r>
          </w:p>
        </w:tc>
        <w:tc>
          <w:tcPr>
            <w:tcW w:w="1001" w:type="dxa"/>
            <w:vAlign w:val="center"/>
          </w:tcPr>
          <w:p w14:paraId="3946A7DD">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bCs/>
                <w:sz w:val="24"/>
                <w:szCs w:val="24"/>
              </w:rPr>
              <w:t>预期性</w:t>
            </w:r>
          </w:p>
        </w:tc>
      </w:tr>
      <w:tr w14:paraId="02E8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5" w:type="dxa"/>
            <w:vAlign w:val="center"/>
          </w:tcPr>
          <w:p w14:paraId="6D4A52C4">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4967" w:type="dxa"/>
            <w:vAlign w:val="center"/>
          </w:tcPr>
          <w:p w14:paraId="639152D0">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一般事项“双随机、一公开”抽查比例（%）</w:t>
            </w:r>
          </w:p>
        </w:tc>
        <w:tc>
          <w:tcPr>
            <w:tcW w:w="1035" w:type="dxa"/>
            <w:vAlign w:val="center"/>
          </w:tcPr>
          <w:p w14:paraId="3F20C911">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1032" w:type="dxa"/>
            <w:vAlign w:val="center"/>
          </w:tcPr>
          <w:p w14:paraId="287A1653">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1001" w:type="dxa"/>
            <w:vAlign w:val="center"/>
          </w:tcPr>
          <w:p w14:paraId="30B07AEA">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约束性</w:t>
            </w:r>
          </w:p>
        </w:tc>
      </w:tr>
      <w:tr w14:paraId="759F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820" w:type="dxa"/>
            <w:gridSpan w:val="5"/>
            <w:vAlign w:val="center"/>
          </w:tcPr>
          <w:p w14:paraId="7577FF6D">
            <w:pPr>
              <w:adjustRightInd w:val="0"/>
              <w:snapToGrid w:val="0"/>
              <w:spacing w:line="320" w:lineRule="exact"/>
              <w:rPr>
                <w:rFonts w:ascii="Times New Roman" w:hAnsi="Times New Roman" w:eastAsia="方正仿宋_GBK" w:cs="Times New Roman"/>
                <w:kern w:val="0"/>
                <w:sz w:val="24"/>
                <w:szCs w:val="24"/>
              </w:rPr>
            </w:pPr>
            <w:r>
              <w:rPr>
                <w:rFonts w:ascii="Times New Roman" w:hAnsi="Times New Roman" w:eastAsia="方正仿宋_GBK" w:cs="Times New Roman"/>
                <w:b/>
                <w:bCs/>
                <w:kern w:val="0"/>
                <w:sz w:val="24"/>
                <w:szCs w:val="24"/>
              </w:rPr>
              <w:t>二、质量提升</w:t>
            </w:r>
          </w:p>
        </w:tc>
      </w:tr>
      <w:tr w14:paraId="4461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5" w:type="dxa"/>
            <w:vAlign w:val="center"/>
          </w:tcPr>
          <w:p w14:paraId="3F622C45">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c>
          <w:tcPr>
            <w:tcW w:w="4967" w:type="dxa"/>
            <w:vAlign w:val="center"/>
          </w:tcPr>
          <w:p w14:paraId="0BF49187">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制造业质量竞争力指数</w:t>
            </w:r>
          </w:p>
        </w:tc>
        <w:tc>
          <w:tcPr>
            <w:tcW w:w="1035" w:type="dxa"/>
            <w:vAlign w:val="center"/>
          </w:tcPr>
          <w:p w14:paraId="205C595B">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w:t>
            </w:r>
          </w:p>
        </w:tc>
        <w:tc>
          <w:tcPr>
            <w:tcW w:w="1032" w:type="dxa"/>
            <w:vAlign w:val="center"/>
          </w:tcPr>
          <w:p w14:paraId="0BD689F7">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p>
        </w:tc>
        <w:tc>
          <w:tcPr>
            <w:tcW w:w="1001" w:type="dxa"/>
            <w:vAlign w:val="center"/>
          </w:tcPr>
          <w:p w14:paraId="79C802A5">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预期性</w:t>
            </w:r>
          </w:p>
        </w:tc>
      </w:tr>
      <w:tr w14:paraId="2090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5" w:type="dxa"/>
            <w:vAlign w:val="center"/>
          </w:tcPr>
          <w:p w14:paraId="0B48C0D3">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w:t>
            </w:r>
          </w:p>
        </w:tc>
        <w:tc>
          <w:tcPr>
            <w:tcW w:w="4967" w:type="dxa"/>
            <w:vAlign w:val="center"/>
          </w:tcPr>
          <w:p w14:paraId="61F88F23">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制造业产品质量合格率（%）</w:t>
            </w:r>
          </w:p>
        </w:tc>
        <w:tc>
          <w:tcPr>
            <w:tcW w:w="1035" w:type="dxa"/>
            <w:vAlign w:val="center"/>
          </w:tcPr>
          <w:p w14:paraId="1C1BE190">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w:t>
            </w:r>
          </w:p>
        </w:tc>
        <w:tc>
          <w:tcPr>
            <w:tcW w:w="1032" w:type="dxa"/>
            <w:vAlign w:val="center"/>
          </w:tcPr>
          <w:p w14:paraId="086B281D">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w:t>
            </w:r>
          </w:p>
        </w:tc>
        <w:tc>
          <w:tcPr>
            <w:tcW w:w="1001" w:type="dxa"/>
            <w:vAlign w:val="center"/>
          </w:tcPr>
          <w:p w14:paraId="1ED63245">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预期性</w:t>
            </w:r>
          </w:p>
        </w:tc>
      </w:tr>
      <w:tr w14:paraId="4857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5" w:type="dxa"/>
            <w:vAlign w:val="center"/>
          </w:tcPr>
          <w:p w14:paraId="51942202">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4967" w:type="dxa"/>
            <w:vAlign w:val="center"/>
          </w:tcPr>
          <w:p w14:paraId="36C7C957">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公共服务质量满意度（分）</w:t>
            </w:r>
          </w:p>
        </w:tc>
        <w:tc>
          <w:tcPr>
            <w:tcW w:w="1035" w:type="dxa"/>
            <w:vAlign w:val="center"/>
          </w:tcPr>
          <w:p w14:paraId="3A3BD3BF">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p>
        </w:tc>
        <w:tc>
          <w:tcPr>
            <w:tcW w:w="1032" w:type="dxa"/>
            <w:vAlign w:val="center"/>
          </w:tcPr>
          <w:p w14:paraId="32C683A2">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w:t>
            </w:r>
          </w:p>
        </w:tc>
        <w:tc>
          <w:tcPr>
            <w:tcW w:w="1001" w:type="dxa"/>
            <w:vAlign w:val="center"/>
          </w:tcPr>
          <w:p w14:paraId="7331377F">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预期性</w:t>
            </w:r>
          </w:p>
        </w:tc>
      </w:tr>
      <w:tr w14:paraId="094D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5" w:type="dxa"/>
            <w:vAlign w:val="center"/>
          </w:tcPr>
          <w:p w14:paraId="7997DE2F">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w:t>
            </w:r>
          </w:p>
        </w:tc>
        <w:tc>
          <w:tcPr>
            <w:tcW w:w="4967" w:type="dxa"/>
            <w:vAlign w:val="center"/>
          </w:tcPr>
          <w:p w14:paraId="70A716C4">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创建市级标准化示范项目（项）</w:t>
            </w:r>
          </w:p>
        </w:tc>
        <w:tc>
          <w:tcPr>
            <w:tcW w:w="1035" w:type="dxa"/>
            <w:vAlign w:val="center"/>
          </w:tcPr>
          <w:p w14:paraId="4A983FD2">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1032" w:type="dxa"/>
            <w:vAlign w:val="center"/>
          </w:tcPr>
          <w:p w14:paraId="25F3839B">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1001" w:type="dxa"/>
            <w:vAlign w:val="center"/>
          </w:tcPr>
          <w:p w14:paraId="29E4834B">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预期性</w:t>
            </w:r>
          </w:p>
        </w:tc>
      </w:tr>
      <w:tr w14:paraId="3536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5" w:type="dxa"/>
            <w:vAlign w:val="center"/>
          </w:tcPr>
          <w:p w14:paraId="5772600A">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4967" w:type="dxa"/>
            <w:vAlign w:val="center"/>
          </w:tcPr>
          <w:p w14:paraId="717428FB">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重点用能单位能源计量审查（个）</w:t>
            </w:r>
          </w:p>
        </w:tc>
        <w:tc>
          <w:tcPr>
            <w:tcW w:w="1035" w:type="dxa"/>
            <w:vAlign w:val="center"/>
          </w:tcPr>
          <w:p w14:paraId="7B41FEAC">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w:t>
            </w:r>
          </w:p>
        </w:tc>
        <w:tc>
          <w:tcPr>
            <w:tcW w:w="1032" w:type="dxa"/>
            <w:vAlign w:val="center"/>
          </w:tcPr>
          <w:p w14:paraId="44BC0055">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1001" w:type="dxa"/>
            <w:vAlign w:val="center"/>
          </w:tcPr>
          <w:p w14:paraId="34BFB0D0">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预期性</w:t>
            </w:r>
          </w:p>
        </w:tc>
      </w:tr>
      <w:tr w14:paraId="5AB7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820" w:type="dxa"/>
            <w:gridSpan w:val="5"/>
            <w:vAlign w:val="center"/>
          </w:tcPr>
          <w:p w14:paraId="4152D47E">
            <w:pPr>
              <w:adjustRightInd w:val="0"/>
              <w:snapToGrid w:val="0"/>
              <w:spacing w:line="320" w:lineRule="exact"/>
              <w:rPr>
                <w:rFonts w:ascii="Times New Roman" w:hAnsi="Times New Roman" w:eastAsia="方正仿宋_GBK" w:cs="Times New Roman"/>
                <w:kern w:val="0"/>
                <w:sz w:val="24"/>
                <w:szCs w:val="24"/>
              </w:rPr>
            </w:pPr>
            <w:r>
              <w:rPr>
                <w:rFonts w:ascii="Times New Roman" w:hAnsi="Times New Roman" w:eastAsia="方正仿宋_GBK" w:cs="Times New Roman"/>
                <w:b/>
                <w:bCs/>
                <w:kern w:val="0"/>
                <w:sz w:val="24"/>
                <w:szCs w:val="24"/>
              </w:rPr>
              <w:t>三、市场安全</w:t>
            </w:r>
          </w:p>
        </w:tc>
      </w:tr>
      <w:tr w14:paraId="2675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85" w:type="dxa"/>
            <w:vAlign w:val="center"/>
          </w:tcPr>
          <w:p w14:paraId="294B8C41">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w:t>
            </w:r>
          </w:p>
        </w:tc>
        <w:tc>
          <w:tcPr>
            <w:tcW w:w="4967" w:type="dxa"/>
            <w:vAlign w:val="center"/>
          </w:tcPr>
          <w:p w14:paraId="280127FB">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食品和农产品抽检量（批次/千人）</w:t>
            </w:r>
          </w:p>
        </w:tc>
        <w:tc>
          <w:tcPr>
            <w:tcW w:w="1035" w:type="dxa"/>
            <w:vAlign w:val="center"/>
          </w:tcPr>
          <w:p w14:paraId="35BC79FC">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3批次/千人</w:t>
            </w:r>
          </w:p>
        </w:tc>
        <w:tc>
          <w:tcPr>
            <w:tcW w:w="1032" w:type="dxa"/>
            <w:vAlign w:val="center"/>
          </w:tcPr>
          <w:p w14:paraId="10F708EF">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5.5批次/千人</w:t>
            </w:r>
          </w:p>
        </w:tc>
        <w:tc>
          <w:tcPr>
            <w:tcW w:w="1001" w:type="dxa"/>
            <w:vAlign w:val="center"/>
          </w:tcPr>
          <w:p w14:paraId="2C6DCE8A">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约束性</w:t>
            </w:r>
          </w:p>
        </w:tc>
      </w:tr>
      <w:tr w14:paraId="4063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5" w:type="dxa"/>
            <w:vAlign w:val="center"/>
          </w:tcPr>
          <w:p w14:paraId="3CF99AFF">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w:t>
            </w:r>
          </w:p>
        </w:tc>
        <w:tc>
          <w:tcPr>
            <w:tcW w:w="4967" w:type="dxa"/>
            <w:vAlign w:val="center"/>
          </w:tcPr>
          <w:p w14:paraId="0469B3A7">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食品评价性抽检合格率（%）</w:t>
            </w:r>
          </w:p>
        </w:tc>
        <w:tc>
          <w:tcPr>
            <w:tcW w:w="1035" w:type="dxa"/>
            <w:vAlign w:val="center"/>
          </w:tcPr>
          <w:p w14:paraId="1E28385D">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w:t>
            </w:r>
          </w:p>
        </w:tc>
        <w:tc>
          <w:tcPr>
            <w:tcW w:w="1032" w:type="dxa"/>
            <w:vAlign w:val="center"/>
          </w:tcPr>
          <w:p w14:paraId="11D8FC52">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w:t>
            </w:r>
          </w:p>
        </w:tc>
        <w:tc>
          <w:tcPr>
            <w:tcW w:w="1001" w:type="dxa"/>
            <w:vAlign w:val="center"/>
          </w:tcPr>
          <w:p w14:paraId="502A39B2">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预期性</w:t>
            </w:r>
          </w:p>
        </w:tc>
      </w:tr>
      <w:tr w14:paraId="2128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5" w:type="dxa"/>
            <w:vAlign w:val="center"/>
          </w:tcPr>
          <w:p w14:paraId="126D1691">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w:t>
            </w:r>
          </w:p>
        </w:tc>
        <w:tc>
          <w:tcPr>
            <w:tcW w:w="4967" w:type="dxa"/>
            <w:vAlign w:val="center"/>
          </w:tcPr>
          <w:p w14:paraId="1EC700A1">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食品安全满意度（分）</w:t>
            </w:r>
          </w:p>
        </w:tc>
        <w:tc>
          <w:tcPr>
            <w:tcW w:w="1035" w:type="dxa"/>
            <w:vAlign w:val="center"/>
          </w:tcPr>
          <w:p w14:paraId="26A52059">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w:t>
            </w:r>
          </w:p>
        </w:tc>
        <w:tc>
          <w:tcPr>
            <w:tcW w:w="1032" w:type="dxa"/>
            <w:vAlign w:val="center"/>
          </w:tcPr>
          <w:p w14:paraId="05B26400">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87 </w:t>
            </w:r>
          </w:p>
        </w:tc>
        <w:tc>
          <w:tcPr>
            <w:tcW w:w="1001" w:type="dxa"/>
            <w:vAlign w:val="center"/>
          </w:tcPr>
          <w:p w14:paraId="01DC504D">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预期性</w:t>
            </w:r>
          </w:p>
        </w:tc>
      </w:tr>
      <w:tr w14:paraId="704E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5" w:type="dxa"/>
            <w:vAlign w:val="center"/>
          </w:tcPr>
          <w:p w14:paraId="3E9ADF3E">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w:t>
            </w:r>
          </w:p>
        </w:tc>
        <w:tc>
          <w:tcPr>
            <w:tcW w:w="4967" w:type="dxa"/>
            <w:vAlign w:val="center"/>
          </w:tcPr>
          <w:p w14:paraId="178C65B4">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创建国家食品安全示范城市（个）</w:t>
            </w:r>
          </w:p>
        </w:tc>
        <w:tc>
          <w:tcPr>
            <w:tcW w:w="1035" w:type="dxa"/>
            <w:vAlign w:val="center"/>
          </w:tcPr>
          <w:p w14:paraId="7EFB75DD">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w:t>
            </w:r>
          </w:p>
        </w:tc>
        <w:tc>
          <w:tcPr>
            <w:tcW w:w="1032" w:type="dxa"/>
            <w:vAlign w:val="center"/>
          </w:tcPr>
          <w:p w14:paraId="647A2ED4">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1001" w:type="dxa"/>
            <w:vAlign w:val="center"/>
          </w:tcPr>
          <w:p w14:paraId="7E90DC58">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预期性</w:t>
            </w:r>
          </w:p>
        </w:tc>
      </w:tr>
      <w:tr w14:paraId="305D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5" w:type="dxa"/>
            <w:vAlign w:val="center"/>
          </w:tcPr>
          <w:p w14:paraId="3955B675">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c>
          <w:tcPr>
            <w:tcW w:w="4967" w:type="dxa"/>
            <w:vAlign w:val="center"/>
          </w:tcPr>
          <w:p w14:paraId="3933311B">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药品抽检合格率（%）</w:t>
            </w:r>
          </w:p>
        </w:tc>
        <w:tc>
          <w:tcPr>
            <w:tcW w:w="1035" w:type="dxa"/>
            <w:vAlign w:val="center"/>
          </w:tcPr>
          <w:p w14:paraId="66030B53">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w:t>
            </w:r>
          </w:p>
        </w:tc>
        <w:tc>
          <w:tcPr>
            <w:tcW w:w="1032" w:type="dxa"/>
            <w:vAlign w:val="center"/>
          </w:tcPr>
          <w:p w14:paraId="683148C5">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&gt;98%</w:t>
            </w:r>
          </w:p>
        </w:tc>
        <w:tc>
          <w:tcPr>
            <w:tcW w:w="1001" w:type="dxa"/>
            <w:vAlign w:val="center"/>
          </w:tcPr>
          <w:p w14:paraId="7C6C966B">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预期性</w:t>
            </w:r>
          </w:p>
        </w:tc>
      </w:tr>
      <w:tr w14:paraId="3F97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5" w:type="dxa"/>
            <w:vAlign w:val="center"/>
          </w:tcPr>
          <w:p w14:paraId="549A83A0">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w:t>
            </w:r>
          </w:p>
        </w:tc>
        <w:tc>
          <w:tcPr>
            <w:tcW w:w="4967" w:type="dxa"/>
            <w:vAlign w:val="center"/>
          </w:tcPr>
          <w:p w14:paraId="41776A9C">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万台特种设备死亡人数年平均值（人）</w:t>
            </w:r>
          </w:p>
        </w:tc>
        <w:tc>
          <w:tcPr>
            <w:tcW w:w="1035" w:type="dxa"/>
            <w:vAlign w:val="center"/>
          </w:tcPr>
          <w:p w14:paraId="05250ED1">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w:t>
            </w:r>
          </w:p>
        </w:tc>
        <w:tc>
          <w:tcPr>
            <w:tcW w:w="1032" w:type="dxa"/>
            <w:vAlign w:val="center"/>
          </w:tcPr>
          <w:p w14:paraId="0E87F470">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0.05</w:t>
            </w:r>
          </w:p>
        </w:tc>
        <w:tc>
          <w:tcPr>
            <w:tcW w:w="1001" w:type="dxa"/>
            <w:vAlign w:val="center"/>
          </w:tcPr>
          <w:p w14:paraId="3168BD59">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约束性</w:t>
            </w:r>
          </w:p>
        </w:tc>
      </w:tr>
      <w:tr w14:paraId="06DE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5" w:type="dxa"/>
            <w:vAlign w:val="center"/>
          </w:tcPr>
          <w:p w14:paraId="54934AE9">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w:t>
            </w:r>
          </w:p>
        </w:tc>
        <w:tc>
          <w:tcPr>
            <w:tcW w:w="4967" w:type="dxa"/>
            <w:vAlign w:val="center"/>
          </w:tcPr>
          <w:p w14:paraId="1A06F7E1">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消费投诉按期办结率（%）</w:t>
            </w:r>
          </w:p>
        </w:tc>
        <w:tc>
          <w:tcPr>
            <w:tcW w:w="1035" w:type="dxa"/>
            <w:vAlign w:val="center"/>
          </w:tcPr>
          <w:p w14:paraId="3541CF28">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w:t>
            </w:r>
          </w:p>
        </w:tc>
        <w:tc>
          <w:tcPr>
            <w:tcW w:w="1032" w:type="dxa"/>
            <w:vAlign w:val="center"/>
          </w:tcPr>
          <w:p w14:paraId="0B16EB0A">
            <w:pPr>
              <w:adjustRightInd w:val="0"/>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w:t>
            </w:r>
          </w:p>
        </w:tc>
        <w:tc>
          <w:tcPr>
            <w:tcW w:w="1001" w:type="dxa"/>
            <w:vAlign w:val="center"/>
          </w:tcPr>
          <w:p w14:paraId="22F80F3E">
            <w:pPr>
              <w:adjustRightInd w:val="0"/>
              <w:snapToGrid w:val="0"/>
              <w:spacing w:line="32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约束性</w:t>
            </w:r>
          </w:p>
        </w:tc>
      </w:tr>
      <w:bookmarkEnd w:id="158"/>
    </w:tbl>
    <w:p w14:paraId="28337C4C">
      <w:pPr>
        <w:pStyle w:val="4"/>
        <w:keepNext w:val="0"/>
        <w:keepLines w:val="0"/>
        <w:spacing w:line="240" w:lineRule="auto"/>
        <w:ind w:left="0"/>
        <w:jc w:val="both"/>
        <w:rPr>
          <w:rStyle w:val="24"/>
          <w:b w:val="0"/>
          <w:bCs w:val="0"/>
          <w:shd w:val="clear" w:color="auto" w:fill="auto"/>
        </w:rPr>
      </w:pPr>
      <w:r>
        <w:rPr>
          <w:rStyle w:val="24"/>
          <w:b w:val="0"/>
          <w:bCs w:val="0"/>
          <w:shd w:val="clear" w:color="auto" w:fill="auto"/>
        </w:rPr>
        <w:br w:type="page"/>
      </w:r>
    </w:p>
    <w:p w14:paraId="69F98F66">
      <w:pPr>
        <w:pStyle w:val="4"/>
        <w:keepNext w:val="0"/>
        <w:keepLines w:val="0"/>
        <w:spacing w:before="0" w:after="0" w:line="240" w:lineRule="auto"/>
        <w:ind w:left="0"/>
        <w:rPr>
          <w:rStyle w:val="24"/>
          <w:rFonts w:eastAsia="方正小标宋_GBK"/>
          <w:b w:val="0"/>
          <w:bCs w:val="0"/>
          <w:sz w:val="44"/>
          <w:szCs w:val="44"/>
          <w:shd w:val="clear" w:color="auto" w:fill="auto"/>
        </w:rPr>
      </w:pPr>
      <w:bookmarkStart w:id="159" w:name="_Toc26199"/>
      <w:bookmarkStart w:id="160" w:name="_Toc1184"/>
      <w:bookmarkStart w:id="161" w:name="_Toc32338_WPSOffice_Level1"/>
      <w:bookmarkStart w:id="162" w:name="_Toc3014"/>
      <w:r>
        <w:rPr>
          <w:rStyle w:val="24"/>
          <w:rFonts w:eastAsia="方正小标宋_GBK"/>
          <w:b w:val="0"/>
          <w:bCs w:val="0"/>
          <w:sz w:val="44"/>
          <w:szCs w:val="44"/>
          <w:shd w:val="clear" w:color="auto" w:fill="auto"/>
        </w:rPr>
        <w:t>第三部分：筑牢安全</w:t>
      </w:r>
      <w:r>
        <w:rPr>
          <w:rStyle w:val="24"/>
          <w:rFonts w:eastAsia="方正小标宋_GBK"/>
          <w:b w:val="0"/>
          <w:bCs/>
          <w:sz w:val="44"/>
          <w:szCs w:val="44"/>
          <w:shd w:val="clear" w:color="auto" w:fill="auto"/>
        </w:rPr>
        <w:t>底线</w:t>
      </w:r>
      <w:bookmarkEnd w:id="159"/>
      <w:bookmarkEnd w:id="160"/>
      <w:bookmarkEnd w:id="161"/>
      <w:bookmarkEnd w:id="162"/>
    </w:p>
    <w:p w14:paraId="3F7AD399">
      <w:pPr>
        <w:pStyle w:val="5"/>
        <w:keepNext w:val="0"/>
        <w:keepLines w:val="0"/>
        <w:spacing w:before="0" w:after="0" w:line="240" w:lineRule="auto"/>
        <w:ind w:firstLine="624" w:firstLineChars="200"/>
        <w:rPr>
          <w:rStyle w:val="24"/>
          <w:rFonts w:ascii="Times New Roman" w:hAnsi="Times New Roman" w:eastAsia="方正黑体_GBK" w:cs="Times New Roman"/>
          <w:b w:val="0"/>
          <w:bCs/>
          <w:spacing w:val="-4"/>
        </w:rPr>
      </w:pPr>
      <w:bookmarkStart w:id="163" w:name="_Toc19125"/>
    </w:p>
    <w:p w14:paraId="736E06F4">
      <w:pPr>
        <w:pStyle w:val="5"/>
        <w:keepNext w:val="0"/>
        <w:keepLines w:val="0"/>
        <w:spacing w:before="0" w:after="0" w:line="240" w:lineRule="auto"/>
        <w:ind w:firstLine="624" w:firstLineChars="200"/>
        <w:rPr>
          <w:rStyle w:val="24"/>
          <w:rFonts w:ascii="Times New Roman" w:hAnsi="Times New Roman" w:eastAsia="方正黑体_GBK" w:cs="Times New Roman"/>
          <w:b w:val="0"/>
          <w:bCs/>
          <w:spacing w:val="-4"/>
        </w:rPr>
      </w:pPr>
      <w:bookmarkStart w:id="164" w:name="_Toc4622"/>
      <w:bookmarkStart w:id="165" w:name="_Toc3986_WPSOffice_Level2"/>
      <w:bookmarkStart w:id="166" w:name="_Toc17515"/>
      <w:r>
        <w:rPr>
          <w:rStyle w:val="24"/>
          <w:rFonts w:ascii="Times New Roman" w:hAnsi="Times New Roman" w:eastAsia="方正黑体_GBK" w:cs="Times New Roman"/>
          <w:b w:val="0"/>
          <w:bCs/>
          <w:spacing w:val="-4"/>
        </w:rPr>
        <w:t>一、食品安全监管</w:t>
      </w:r>
      <w:bookmarkEnd w:id="163"/>
      <w:bookmarkEnd w:id="164"/>
      <w:bookmarkEnd w:id="165"/>
      <w:bookmarkEnd w:id="166"/>
    </w:p>
    <w:p w14:paraId="275D0D41">
      <w:pPr>
        <w:ind w:firstLine="640" w:firstLineChars="200"/>
        <w:rPr>
          <w:rFonts w:ascii="Times New Roman" w:hAnsi="Times New Roman" w:eastAsia="方正楷体_GBK" w:cs="Times New Roman"/>
          <w:szCs w:val="32"/>
        </w:rPr>
      </w:pPr>
      <w:bookmarkStart w:id="167" w:name="_Toc6272_WPSOffice_Level3"/>
      <w:r>
        <w:rPr>
          <w:rFonts w:ascii="Times New Roman" w:hAnsi="Times New Roman" w:eastAsia="方正楷体_GBK" w:cs="Times New Roman"/>
          <w:szCs w:val="32"/>
        </w:rPr>
        <w:t>（一）推进食品安全体系建设</w:t>
      </w:r>
      <w:bookmarkEnd w:id="167"/>
    </w:p>
    <w:p w14:paraId="62B98311">
      <w:pPr>
        <w:ind w:firstLine="640" w:firstLineChars="200"/>
        <w:rPr>
          <w:rFonts w:ascii="Times New Roman" w:hAnsi="Times New Roman" w:eastAsia="方正仿宋_GBK" w:cs="Times New Roman"/>
          <w:kern w:val="0"/>
          <w:szCs w:val="32"/>
        </w:rPr>
      </w:pPr>
      <w:r>
        <w:rPr>
          <w:rFonts w:ascii="Times New Roman" w:hAnsi="Times New Roman" w:eastAsia="方正仿宋_GBK" w:cs="Times New Roman"/>
          <w:kern w:val="0"/>
          <w:szCs w:val="32"/>
        </w:rPr>
        <w:t>深入贯彻落实《</w:t>
      </w:r>
      <w:r>
        <w:rPr>
          <w:rFonts w:hint="eastAsia" w:ascii="Times New Roman" w:hAnsi="Times New Roman" w:eastAsia="方正仿宋_GBK" w:cs="Times New Roman"/>
          <w:kern w:val="0"/>
          <w:szCs w:val="32"/>
          <w:lang w:eastAsia="zh-CN"/>
        </w:rPr>
        <w:t>中共中央 国务院</w:t>
      </w:r>
      <w:r>
        <w:rPr>
          <w:rFonts w:ascii="Times New Roman" w:hAnsi="Times New Roman" w:eastAsia="方正仿宋_GBK" w:cs="Times New Roman"/>
          <w:kern w:val="0"/>
          <w:szCs w:val="32"/>
        </w:rPr>
        <w:t>关于深化改革加强食品安全工作的意见》《地方党政领导干部食品安全责任制规定》和重庆市有关文件精神，遵循“四个最严”要求，全面实施食品安全战略，深入推进食品安全放心工程建设，着力加强法规制度体系、食品标准体系、安全标准体系、检验检测体系、监管责任体系、产品追溯体系、食品安全信用体系建设，净化产地环境，规范农业投入品生产使用，加强粮食收储质量安全监管，构建“从食品生产、流通到消费”全过程、全链条监管机制，提升食品安全治理能力和治理水平，推动产业高质量发展，让人民群众吃得安全、吃得健康、吃得放心。</w:t>
      </w:r>
    </w:p>
    <w:p w14:paraId="0D3FAA3F">
      <w:pPr>
        <w:ind w:firstLine="640" w:firstLineChars="200"/>
        <w:rPr>
          <w:rFonts w:ascii="Times New Roman" w:hAnsi="Times New Roman" w:eastAsia="方正楷体_GBK" w:cs="Times New Roman"/>
          <w:kern w:val="0"/>
          <w:szCs w:val="32"/>
        </w:rPr>
      </w:pPr>
      <w:bookmarkStart w:id="168" w:name="_Toc23362_WPSOffice_Level3"/>
      <w:r>
        <w:rPr>
          <w:rFonts w:ascii="Times New Roman" w:hAnsi="Times New Roman" w:eastAsia="方正楷体_GBK" w:cs="Times New Roman"/>
          <w:kern w:val="0"/>
          <w:szCs w:val="32"/>
        </w:rPr>
        <w:t>（二）强化食品安全违法惩戒</w:t>
      </w:r>
      <w:bookmarkEnd w:id="168"/>
    </w:p>
    <w:p w14:paraId="163F440F">
      <w:pPr>
        <w:ind w:firstLine="640" w:firstLineChars="200"/>
        <w:rPr>
          <w:rFonts w:ascii="Times New Roman" w:hAnsi="Times New Roman" w:eastAsia="方正仿宋_GBK" w:cs="Times New Roman"/>
          <w:kern w:val="0"/>
          <w:szCs w:val="32"/>
        </w:rPr>
      </w:pPr>
      <w:r>
        <w:rPr>
          <w:rFonts w:ascii="Times New Roman" w:hAnsi="Times New Roman" w:eastAsia="方正仿宋_GBK" w:cs="Times New Roman"/>
          <w:kern w:val="0"/>
          <w:szCs w:val="32"/>
        </w:rPr>
        <w:t>建立完善打击危害食品安全违法犯罪行刑衔接、案件会商、联合督办等机制，制定食品安全工作责任清单和食品安全监管事权清单。严把食品加工质量安全关，继续推进生产企业食品安全风险分级管理，落实“处罚到人”要求，落实生产经营者主体责任，综合运用各种法律手段，严厉打击违法犯罪。推进食品工业企业诚信体系建设，加大对失信人员联合惩戒力度。完善餐饮服务食品安全日常监管、量化分级、风险分级相关制度，结合实际制定完善相关制度，形成科学完备的餐饮业质量安全监管体系。</w:t>
      </w:r>
    </w:p>
    <w:p w14:paraId="14C67CB1">
      <w:pPr>
        <w:ind w:firstLine="640" w:firstLineChars="200"/>
        <w:rPr>
          <w:rFonts w:ascii="Times New Roman" w:hAnsi="Times New Roman" w:eastAsia="方正楷体_GBK" w:cs="Times New Roman"/>
          <w:szCs w:val="32"/>
          <w:lang w:val="zh-CN"/>
        </w:rPr>
      </w:pPr>
      <w:bookmarkStart w:id="169" w:name="_Toc11869_WPSOffice_Level3"/>
      <w:r>
        <w:rPr>
          <w:rFonts w:ascii="Times New Roman" w:hAnsi="Times New Roman" w:eastAsia="方正楷体_GBK" w:cs="Times New Roman"/>
          <w:kern w:val="0"/>
          <w:szCs w:val="32"/>
        </w:rPr>
        <w:t>（三）加大食品安全抽检力度</w:t>
      </w:r>
      <w:bookmarkEnd w:id="169"/>
    </w:p>
    <w:p w14:paraId="7EE2F26C">
      <w:pPr>
        <w:ind w:firstLine="640" w:firstLineChars="200"/>
        <w:rPr>
          <w:rFonts w:ascii="Times New Roman" w:hAnsi="Times New Roman" w:eastAsia="方正仿宋_GBK" w:cs="Times New Roman"/>
          <w:szCs w:val="32"/>
          <w:lang w:val="zh-CN"/>
        </w:rPr>
      </w:pPr>
      <w:r>
        <w:rPr>
          <w:rFonts w:ascii="Times New Roman" w:hAnsi="Times New Roman" w:eastAsia="方正仿宋_GBK" w:cs="Times New Roman"/>
          <w:szCs w:val="32"/>
        </w:rPr>
        <w:t>到2025年</w:t>
      </w:r>
      <w:r>
        <w:rPr>
          <w:rFonts w:ascii="Times New Roman" w:hAnsi="Times New Roman" w:eastAsia="方正仿宋_GBK" w:cs="Times New Roman"/>
          <w:szCs w:val="32"/>
          <w:lang w:val="zh-CN"/>
        </w:rPr>
        <w:t>食品和农产品抽检量</w:t>
      </w:r>
      <w:r>
        <w:rPr>
          <w:rFonts w:ascii="Times New Roman" w:hAnsi="Times New Roman" w:eastAsia="方正仿宋_GBK" w:cs="Times New Roman"/>
          <w:szCs w:val="32"/>
        </w:rPr>
        <w:t>达到5.5批次/千人</w:t>
      </w:r>
      <w:r>
        <w:rPr>
          <w:rFonts w:ascii="Times New Roman" w:hAnsi="Times New Roman" w:eastAsia="方正仿宋_GBK" w:cs="Times New Roman"/>
          <w:szCs w:val="32"/>
          <w:lang w:val="zh-CN"/>
        </w:rPr>
        <w:t>。</w:t>
      </w:r>
      <w:r>
        <w:rPr>
          <w:rFonts w:ascii="Times New Roman" w:hAnsi="Times New Roman" w:eastAsia="方正仿宋_GBK" w:cs="Times New Roman"/>
          <w:b/>
          <w:bCs/>
          <w:szCs w:val="32"/>
          <w:lang w:val="zh-CN"/>
        </w:rPr>
        <w:t>一是</w:t>
      </w:r>
      <w:r>
        <w:rPr>
          <w:rFonts w:ascii="Times New Roman" w:hAnsi="Times New Roman" w:eastAsia="方正仿宋_GBK" w:cs="Times New Roman"/>
          <w:szCs w:val="32"/>
          <w:lang w:val="zh-CN"/>
        </w:rPr>
        <w:t>坚持问题导向。从解决人民群众普遍关心的突出问题入手，围绕涉及人民群众身体健康的食品安全性指标，聚焦高风险食品品种、项目和区域开展监督抽检，加大对大宗消费食品，农村和校园、幼儿园周边等重点区域的抽检力度。加大对既往抽检不合格食品生产经营企业的跟踪抽检，杜绝同一食品安全问题反复发生。</w:t>
      </w:r>
      <w:r>
        <w:rPr>
          <w:rFonts w:ascii="Times New Roman" w:hAnsi="Times New Roman" w:eastAsia="方正仿宋_GBK" w:cs="Times New Roman"/>
          <w:b/>
          <w:bCs/>
          <w:szCs w:val="32"/>
          <w:lang w:val="zh-CN"/>
        </w:rPr>
        <w:t>二是</w:t>
      </w:r>
      <w:r>
        <w:rPr>
          <w:rFonts w:ascii="Times New Roman" w:hAnsi="Times New Roman" w:eastAsia="方正仿宋_GBK" w:cs="Times New Roman"/>
          <w:szCs w:val="32"/>
          <w:lang w:val="zh-CN"/>
        </w:rPr>
        <w:t>坚持检管结合。充分发挥监督抽检工作对食品安全监管的推动作用，实现抽检计划制定、组织实施、核查处置、数据分析与日常监管工作的有机结合，加强抽检信息与相关部门的互通共享。落实冷链食品和市县食用农产品抽样前监督检查制度，提高样品抽取的代表性和针对性。</w:t>
      </w:r>
      <w:r>
        <w:rPr>
          <w:rFonts w:ascii="Times New Roman" w:hAnsi="Times New Roman" w:eastAsia="方正仿宋_GBK" w:cs="Times New Roman"/>
          <w:b/>
          <w:bCs/>
          <w:szCs w:val="32"/>
          <w:lang w:val="zh-CN"/>
        </w:rPr>
        <w:t>三是</w:t>
      </w:r>
      <w:r>
        <w:rPr>
          <w:rFonts w:ascii="Times New Roman" w:hAnsi="Times New Roman" w:eastAsia="方正仿宋_GBK" w:cs="Times New Roman"/>
          <w:szCs w:val="32"/>
          <w:lang w:val="zh-CN"/>
        </w:rPr>
        <w:t>坚持广泛覆盖。覆盖市场销售的全部33大类食品品种和主要食品安全指标，兼顾重点食品品质指标和营养指标；覆盖城市、农村、</w:t>
      </w:r>
      <w:r>
        <w:rPr>
          <w:rFonts w:hint="eastAsia" w:ascii="Times New Roman" w:hAnsi="Times New Roman" w:eastAsia="方正仿宋_GBK" w:cs="Times New Roman"/>
          <w:szCs w:val="32"/>
          <w:lang w:val="zh-CN"/>
        </w:rPr>
        <w:t>城乡接合部</w:t>
      </w:r>
      <w:r>
        <w:rPr>
          <w:rFonts w:ascii="Times New Roman" w:hAnsi="Times New Roman" w:eastAsia="方正仿宋_GBK" w:cs="Times New Roman"/>
          <w:szCs w:val="32"/>
          <w:lang w:val="zh-CN"/>
        </w:rPr>
        <w:t>、校园及幼儿园等重点区域，覆盖食品生产、经营、餐饮、进口和网络销售等不同业态。</w:t>
      </w:r>
      <w:r>
        <w:rPr>
          <w:rFonts w:ascii="Times New Roman" w:hAnsi="Times New Roman" w:eastAsia="方正仿宋_GBK" w:cs="Times New Roman"/>
          <w:kern w:val="0"/>
          <w:szCs w:val="32"/>
        </w:rPr>
        <w:t>监督抽检、风险监测和评价性抽检三种抽检的定位更加清晰，提高食品安全抽检监测工作科学性和规范性，提升智慧抽检监测水平。</w:t>
      </w:r>
    </w:p>
    <w:p w14:paraId="59AC5EFF">
      <w:pPr>
        <w:pStyle w:val="2"/>
        <w:ind w:firstLine="640" w:firstLineChars="200"/>
        <w:rPr>
          <w:rFonts w:ascii="Times New Roman" w:hAnsi="Times New Roman" w:eastAsia="方正楷体_GBK" w:cs="Times New Roman"/>
          <w:kern w:val="2"/>
          <w:lang w:bidi="ar-SA"/>
        </w:rPr>
      </w:pPr>
      <w:bookmarkStart w:id="170" w:name="_Toc3986_WPSOffice_Level3"/>
      <w:r>
        <w:rPr>
          <w:rFonts w:ascii="Times New Roman" w:hAnsi="Times New Roman" w:eastAsia="方正楷体_GBK" w:cs="Times New Roman"/>
          <w:kern w:val="2"/>
          <w:lang w:bidi="ar-SA"/>
        </w:rPr>
        <w:t>（四）提升食品安全满意度</w:t>
      </w:r>
      <w:bookmarkEnd w:id="170"/>
    </w:p>
    <w:p w14:paraId="3BF33718">
      <w:pPr>
        <w:pStyle w:val="2"/>
        <w:ind w:firstLine="640" w:firstLineChars="200"/>
        <w:rPr>
          <w:rFonts w:ascii="Times New Roman" w:hAnsi="Times New Roman" w:cs="Times New Roman"/>
          <w:kern w:val="2"/>
          <w:lang w:bidi="ar-SA"/>
        </w:rPr>
      </w:pPr>
      <w:r>
        <w:rPr>
          <w:rFonts w:ascii="Times New Roman" w:hAnsi="Times New Roman" w:cs="Times New Roman"/>
          <w:kern w:val="2"/>
          <w:lang w:val="en-US" w:bidi="ar-SA"/>
        </w:rPr>
        <w:t>到2025年</w:t>
      </w:r>
      <w:r>
        <w:rPr>
          <w:rFonts w:ascii="Times New Roman" w:hAnsi="Times New Roman" w:eastAsia="方正楷体_GBK" w:cs="Times New Roman"/>
          <w:kern w:val="2"/>
          <w:lang w:bidi="ar-SA"/>
        </w:rPr>
        <w:t>食品安全满意度</w:t>
      </w:r>
      <w:r>
        <w:rPr>
          <w:rFonts w:ascii="Times New Roman" w:hAnsi="Times New Roman" w:cs="Times New Roman"/>
          <w:kern w:val="2"/>
          <w:lang w:val="en-US" w:bidi="ar-SA"/>
        </w:rPr>
        <w:t>达到87分。</w:t>
      </w:r>
      <w:r>
        <w:rPr>
          <w:rFonts w:ascii="Times New Roman" w:hAnsi="Times New Roman" w:cs="Times New Roman"/>
          <w:b/>
          <w:bCs/>
          <w:kern w:val="2"/>
          <w:lang w:bidi="ar-SA"/>
        </w:rPr>
        <w:t>一是</w:t>
      </w:r>
      <w:r>
        <w:rPr>
          <w:rFonts w:ascii="Times New Roman" w:hAnsi="Times New Roman" w:cs="Times New Roman"/>
          <w:kern w:val="2"/>
          <w:lang w:bidi="ar-SA"/>
        </w:rPr>
        <w:t>通过发放倡议书、悬挂横幅、张贴标语、制作展板，发放宣传材料、设立现场咨询台、投诉举报等方式，提高民众对食品安全相关知识和法律法规知晓率，做到食品安全人人参与。</w:t>
      </w:r>
      <w:r>
        <w:rPr>
          <w:rFonts w:ascii="Times New Roman" w:hAnsi="Times New Roman" w:cs="Times New Roman"/>
          <w:b/>
          <w:bCs/>
          <w:kern w:val="2"/>
          <w:lang w:bidi="ar-SA"/>
        </w:rPr>
        <w:t>二是</w:t>
      </w:r>
      <w:r>
        <w:rPr>
          <w:rFonts w:ascii="Times New Roman" w:hAnsi="Times New Roman" w:cs="Times New Roman"/>
          <w:kern w:val="2"/>
          <w:lang w:bidi="ar-SA"/>
        </w:rPr>
        <w:t>各乡镇街道每季度集中举办食品安全知识宣传活动，每个村（社区）、农产品生产经营主体、食品生产经营大型企业悬挂标语不少于1幅，展板展示点不少于2个，村村通每月至少进行食品安全知识播报1次，实现食品安全理念深入人心。</w:t>
      </w:r>
      <w:r>
        <w:rPr>
          <w:rFonts w:ascii="Times New Roman" w:hAnsi="Times New Roman" w:cs="Times New Roman"/>
          <w:b/>
          <w:bCs/>
          <w:kern w:val="2"/>
          <w:lang w:bidi="ar-SA"/>
        </w:rPr>
        <w:t>三是</w:t>
      </w:r>
      <w:r>
        <w:rPr>
          <w:rFonts w:ascii="Times New Roman" w:hAnsi="Times New Roman" w:cs="Times New Roman"/>
          <w:kern w:val="2"/>
          <w:lang w:bidi="ar-SA"/>
        </w:rPr>
        <w:t>在户外公益广告、广场电子显示屏、丰都新闻网、“看丰都”APP、丰都手机报、“丰都微发布”微信公众号等媒介平台刊登全县食品安全整治成效，让广大人民群众充分了解支持食品安全事业。</w:t>
      </w:r>
      <w:r>
        <w:rPr>
          <w:rFonts w:ascii="Times New Roman" w:hAnsi="Times New Roman" w:cs="Times New Roman"/>
          <w:b/>
          <w:bCs/>
          <w:kern w:val="2"/>
          <w:lang w:bidi="ar-SA"/>
        </w:rPr>
        <w:t>四是</w:t>
      </w:r>
      <w:r>
        <w:rPr>
          <w:rFonts w:ascii="Times New Roman" w:hAnsi="Times New Roman" w:cs="Times New Roman"/>
          <w:kern w:val="2"/>
          <w:lang w:bidi="ar-SA"/>
        </w:rPr>
        <w:t>开展食品安全“十进”活动（进融媒体宣传、进云MAS短信平台、进学校、进机关、进社区、进福利院、进旅游景区、进集贸市场、进企业、进超市），对食品生产经营企业进行线上线下培训，进一步宣传食品安全相关法律法规和食品安全知识，</w:t>
      </w:r>
      <w:r>
        <w:rPr>
          <w:rFonts w:ascii="Times New Roman" w:hAnsi="Times New Roman" w:cs="Times New Roman"/>
          <w:kern w:val="2"/>
          <w:lang w:val="en-US" w:bidi="ar-SA"/>
        </w:rPr>
        <w:t>提升</w:t>
      </w:r>
      <w:r>
        <w:rPr>
          <w:rFonts w:ascii="Times New Roman" w:hAnsi="Times New Roman" w:cs="Times New Roman"/>
          <w:kern w:val="2"/>
          <w:lang w:bidi="ar-SA"/>
        </w:rPr>
        <w:t>人民群众食品安全感。</w:t>
      </w:r>
    </w:p>
    <w:p w14:paraId="5BEF9151">
      <w:pPr>
        <w:pStyle w:val="5"/>
        <w:keepNext w:val="0"/>
        <w:keepLines w:val="0"/>
        <w:spacing w:before="0" w:after="0" w:line="240" w:lineRule="auto"/>
        <w:ind w:firstLine="624" w:firstLineChars="200"/>
        <w:rPr>
          <w:rStyle w:val="24"/>
          <w:rFonts w:ascii="Times New Roman" w:hAnsi="Times New Roman" w:eastAsia="方正黑体_GBK" w:cs="Times New Roman"/>
          <w:b w:val="0"/>
          <w:bCs/>
          <w:spacing w:val="-4"/>
        </w:rPr>
      </w:pPr>
      <w:bookmarkStart w:id="171" w:name="_Toc7944"/>
      <w:bookmarkStart w:id="172" w:name="_Toc5715_WPSOffice_Level2"/>
      <w:bookmarkStart w:id="173" w:name="_Toc20030"/>
      <w:bookmarkStart w:id="174" w:name="_Toc10870"/>
      <w:r>
        <w:rPr>
          <w:rStyle w:val="24"/>
          <w:rFonts w:ascii="Times New Roman" w:hAnsi="Times New Roman" w:eastAsia="方正黑体_GBK" w:cs="Times New Roman"/>
          <w:b w:val="0"/>
          <w:bCs/>
          <w:spacing w:val="-4"/>
        </w:rPr>
        <w:t>二、药品安全监管</w:t>
      </w:r>
      <w:bookmarkEnd w:id="171"/>
      <w:bookmarkEnd w:id="172"/>
      <w:bookmarkEnd w:id="173"/>
      <w:bookmarkEnd w:id="174"/>
    </w:p>
    <w:p w14:paraId="71D1EB53">
      <w:pPr>
        <w:ind w:firstLine="640" w:firstLineChars="200"/>
        <w:jc w:val="left"/>
        <w:rPr>
          <w:rFonts w:ascii="Times New Roman" w:hAnsi="Times New Roman" w:eastAsia="方正仿宋_GBK" w:cs="Times New Roman"/>
          <w:kern w:val="0"/>
          <w:szCs w:val="32"/>
        </w:rPr>
      </w:pPr>
      <w:r>
        <w:rPr>
          <w:rFonts w:ascii="Times New Roman" w:hAnsi="Times New Roman" w:eastAsia="方正仿宋_GBK" w:cs="Times New Roman"/>
          <w:kern w:val="0"/>
          <w:szCs w:val="32"/>
        </w:rPr>
        <w:t>强化准入源头监管，完善药品、医疗器械和化妆品生产、流通全过程监管，依法打造药品、医疗器械和化妆品安全技术支撑。强化智慧监管，加强监管数据的开发应用和开放共享，坚守生命安全红线和健康底线。创新监管手段，完善药品、医疗器械和化妆品安全的全过程、全链条监管机制，深入推进药品、医疗器械和化妆品安全治理行动，强化全生命周期监管和新生业态监管。完善基层监管技术支撑能力，加强专业技术人才队伍和专家智库建设，夯实专业化监管基础，提升智慧监管水平和应急管理能力，筑牢药品、医疗器械和化妆品质量安全风险防控体系。推进药品、医疗器械和化妆品安全诚信体系建设，强化市场主体的安全责任，构建多元、和谐的社会共治格局。</w:t>
      </w:r>
    </w:p>
    <w:p w14:paraId="48148DBA">
      <w:pPr>
        <w:pStyle w:val="5"/>
        <w:keepNext w:val="0"/>
        <w:keepLines w:val="0"/>
        <w:spacing w:before="0" w:after="0" w:line="240" w:lineRule="auto"/>
        <w:ind w:firstLine="624" w:firstLineChars="200"/>
        <w:rPr>
          <w:rStyle w:val="24"/>
          <w:rFonts w:ascii="Times New Roman" w:hAnsi="Times New Roman" w:eastAsia="方正黑体_GBK" w:cs="Times New Roman"/>
          <w:b w:val="0"/>
          <w:bCs/>
          <w:spacing w:val="-4"/>
        </w:rPr>
      </w:pPr>
      <w:bookmarkStart w:id="175" w:name="_Toc5411_WPSOffice_Level2"/>
      <w:bookmarkStart w:id="176" w:name="_Toc28916"/>
      <w:bookmarkStart w:id="177" w:name="_Toc30088"/>
      <w:bookmarkStart w:id="178" w:name="_Toc28941"/>
      <w:r>
        <w:rPr>
          <w:rStyle w:val="24"/>
          <w:rFonts w:ascii="Times New Roman" w:hAnsi="Times New Roman" w:eastAsia="方正黑体_GBK" w:cs="Times New Roman"/>
          <w:b w:val="0"/>
          <w:bCs/>
          <w:spacing w:val="-4"/>
        </w:rPr>
        <w:t>三、特种设备安全监管</w:t>
      </w:r>
      <w:bookmarkEnd w:id="175"/>
      <w:bookmarkEnd w:id="176"/>
      <w:bookmarkEnd w:id="177"/>
      <w:bookmarkEnd w:id="178"/>
    </w:p>
    <w:p w14:paraId="71D9E0C8">
      <w:pPr>
        <w:ind w:firstLine="640" w:firstLineChars="200"/>
        <w:jc w:val="left"/>
        <w:rPr>
          <w:rFonts w:ascii="Times New Roman" w:hAnsi="Times New Roman" w:eastAsia="方正仿宋_GBK" w:cs="Times New Roman"/>
          <w:kern w:val="0"/>
          <w:szCs w:val="32"/>
        </w:rPr>
      </w:pPr>
      <w:bookmarkStart w:id="179" w:name="_Toc1526"/>
      <w:r>
        <w:rPr>
          <w:rFonts w:ascii="Times New Roman" w:hAnsi="Times New Roman" w:eastAsia="方正仿宋_GBK" w:cs="Times New Roman"/>
          <w:kern w:val="0"/>
          <w:szCs w:val="32"/>
        </w:rPr>
        <w:t>推进双重预防机制建设，推动构建特种设备安全风险管控和隐患排查治理双重预防工作机制，不断提升特种设备质量安全水平和节能环保水平。完善安全责任体系，进一步明确职责边界，建立完善特种设备监管长效联动机制，强化区域协同、部门联动，推动落实地方党委政府领导责任和行业部门监管责任。创新和推行信息化监管模式，持续强化智慧特监的使用管理与维护，推广重庆市96333电梯应急救援平台，确保在用电梯认领率100%。综合运用市场化机制、信息化手段，强化信用约束，畅通市场准入、日常监管和退出机制。严格落实每年15%以上的特种设备使用单位日常监督检查计划，开展日常监督检查。突出节假日和中、高考等重大时节特种设备安全监管，对商场、酒店、景区等人员聚集场所使用的特种设备开展专项检查，及时发现并消除隐患。加强特种设备安全隐患动态管理，做实问题隐患和制度措施“两个清单”，实现特种设备隐患闭环管理，确保风险隐患整改率95%以上。强化应急能力建设，切实做好重点时段、重大活动、重大项目特种设备安全保障。推广运用特种设备安全责任保险，确保气瓶充装安全责任险覆盖50%以上的充装站，电梯安全责任险覆盖全县60%以上的电梯。</w:t>
      </w:r>
    </w:p>
    <w:p w14:paraId="24A80AD2">
      <w:pPr>
        <w:pStyle w:val="5"/>
        <w:keepNext w:val="0"/>
        <w:keepLines w:val="0"/>
        <w:spacing w:before="0" w:after="0" w:line="240" w:lineRule="auto"/>
        <w:ind w:firstLine="624" w:firstLineChars="200"/>
        <w:rPr>
          <w:rStyle w:val="24"/>
          <w:rFonts w:ascii="Times New Roman" w:hAnsi="Times New Roman" w:eastAsia="方正黑体_GBK" w:cs="Times New Roman"/>
          <w:b w:val="0"/>
          <w:bCs/>
          <w:spacing w:val="-4"/>
        </w:rPr>
      </w:pPr>
      <w:bookmarkStart w:id="180" w:name="_Toc30194"/>
      <w:bookmarkStart w:id="181" w:name="_Toc26856_WPSOffice_Level2"/>
      <w:bookmarkStart w:id="182" w:name="_Toc25253"/>
      <w:r>
        <w:rPr>
          <w:rStyle w:val="24"/>
          <w:rFonts w:ascii="Times New Roman" w:hAnsi="Times New Roman" w:eastAsia="方正黑体_GBK" w:cs="Times New Roman"/>
          <w:b w:val="0"/>
          <w:bCs/>
          <w:spacing w:val="-4"/>
        </w:rPr>
        <w:t>四、产品质量安全监管</w:t>
      </w:r>
      <w:bookmarkEnd w:id="179"/>
      <w:bookmarkEnd w:id="180"/>
      <w:bookmarkEnd w:id="181"/>
      <w:bookmarkEnd w:id="182"/>
    </w:p>
    <w:p w14:paraId="481CFD15">
      <w:pPr>
        <w:ind w:firstLine="640"/>
        <w:rPr>
          <w:rStyle w:val="24"/>
          <w:rFonts w:ascii="Times New Roman" w:hAnsi="Times New Roman" w:eastAsia="方正小标宋_GBK" w:cs="Times New Roman"/>
          <w:b w:val="0"/>
          <w:sz w:val="44"/>
          <w:szCs w:val="44"/>
        </w:rPr>
      </w:pPr>
      <w:r>
        <w:rPr>
          <w:rFonts w:ascii="Times New Roman" w:hAnsi="Times New Roman" w:eastAsia="方正仿宋_GBK" w:cs="Times New Roman"/>
          <w:snapToGrid w:val="0"/>
          <w:kern w:val="0"/>
          <w:szCs w:val="32"/>
        </w:rPr>
        <w:t>对关系人体健康和生命财产安全的产品严格监管。加大对工业产品生产许可证目录产品证后监管力度，从严管控区域性、系统性产品质量安全问题。</w:t>
      </w:r>
      <w:r>
        <w:rPr>
          <w:rFonts w:ascii="Times New Roman" w:hAnsi="Times New Roman" w:eastAsia="方正仿宋_GBK" w:cs="Times New Roman"/>
          <w:szCs w:val="32"/>
        </w:rPr>
        <w:t>优化抽查技术方法，提高不合格产品发现能力，</w:t>
      </w:r>
      <w:r>
        <w:rPr>
          <w:rFonts w:ascii="Times New Roman" w:hAnsi="Times New Roman" w:eastAsia="方正仿宋_GBK" w:cs="Times New Roman"/>
        </w:rPr>
        <w:t>提升企业质量管控能力。</w:t>
      </w:r>
      <w:r>
        <w:rPr>
          <w:rFonts w:ascii="Times New Roman" w:hAnsi="Times New Roman" w:eastAsia="方正仿宋_GBK" w:cs="Times New Roman"/>
          <w:szCs w:val="32"/>
        </w:rPr>
        <w:t>推动企业建立产品质量安全承诺、自主排查和主动报告风险隐患等制度，督促落实产品质量出厂检验制度。</w:t>
      </w:r>
      <w:r>
        <w:rPr>
          <w:rFonts w:ascii="Times New Roman" w:hAnsi="Times New Roman" w:eastAsia="方正仿宋_GBK" w:cs="Times New Roman"/>
        </w:rPr>
        <w:t>加强对产品质量问题源头治理。</w:t>
      </w:r>
      <w:r>
        <w:rPr>
          <w:rFonts w:ascii="Times New Roman" w:hAnsi="Times New Roman" w:eastAsia="方正仿宋_GBK" w:cs="Times New Roman"/>
          <w:szCs w:val="32"/>
        </w:rPr>
        <w:t>健全缺陷产品召回制度，加强重点产品召回管理，完善缺陷产品召回技术支撑体系。完善产品伤害监测制度，拓宽监测信息采集渠道，推进产品伤害预防干预。提高质量安全事故人身伤害赔偿标准。加强防伪产品监管。</w:t>
      </w:r>
      <w:r>
        <w:rPr>
          <w:rFonts w:ascii="Times New Roman" w:hAnsi="Times New Roman" w:eastAsia="方正仿宋_GBK" w:cs="Times New Roman"/>
          <w:kern w:val="0"/>
          <w:szCs w:val="32"/>
        </w:rPr>
        <w:t>争取到2025年，产品质量监督抽查合格率稳定到90%以上</w:t>
      </w:r>
      <w:bookmarkStart w:id="183" w:name="_Toc32385"/>
      <w:r>
        <w:rPr>
          <w:rFonts w:hint="eastAsia" w:ascii="Times New Roman" w:hAnsi="Times New Roman" w:eastAsia="方正仿宋_GBK" w:cs="Times New Roman"/>
          <w:kern w:val="0"/>
          <w:szCs w:val="32"/>
        </w:rPr>
        <w:t>。</w:t>
      </w:r>
    </w:p>
    <w:p w14:paraId="08D8A982">
      <w:pPr>
        <w:pStyle w:val="4"/>
        <w:keepNext w:val="0"/>
        <w:keepLines w:val="0"/>
        <w:spacing w:before="0" w:after="0" w:line="570" w:lineRule="exact"/>
        <w:ind w:left="0" w:firstLine="1760" w:firstLineChars="400"/>
        <w:jc w:val="both"/>
        <w:rPr>
          <w:rStyle w:val="24"/>
          <w:rFonts w:eastAsia="方正小标宋_GBK"/>
          <w:b w:val="0"/>
          <w:bCs/>
          <w:sz w:val="44"/>
          <w:szCs w:val="44"/>
          <w:shd w:val="clear" w:color="auto" w:fill="auto"/>
        </w:rPr>
      </w:pPr>
      <w:bookmarkStart w:id="184" w:name="_Toc20159"/>
      <w:bookmarkStart w:id="185" w:name="_Toc22150"/>
      <w:bookmarkStart w:id="186" w:name="_Toc26713_WPSOffice_Level1"/>
      <w:r>
        <w:rPr>
          <w:rStyle w:val="24"/>
          <w:rFonts w:eastAsia="方正小标宋_GBK"/>
          <w:b w:val="0"/>
          <w:bCs/>
          <w:sz w:val="44"/>
          <w:szCs w:val="44"/>
          <w:shd w:val="clear" w:color="auto" w:fill="auto"/>
        </w:rPr>
        <w:t>第四部分：优化营商环境</w:t>
      </w:r>
      <w:bookmarkEnd w:id="183"/>
      <w:bookmarkEnd w:id="184"/>
      <w:bookmarkEnd w:id="185"/>
      <w:bookmarkEnd w:id="186"/>
    </w:p>
    <w:p w14:paraId="6F18552D">
      <w:pPr>
        <w:pStyle w:val="5"/>
        <w:keepNext w:val="0"/>
        <w:keepLines w:val="0"/>
        <w:spacing w:before="0" w:after="0" w:line="570" w:lineRule="exact"/>
        <w:ind w:firstLine="624" w:firstLineChars="200"/>
        <w:rPr>
          <w:rStyle w:val="24"/>
          <w:rFonts w:ascii="Times New Roman" w:hAnsi="Times New Roman" w:eastAsia="方正黑体_GBK" w:cs="Times New Roman"/>
          <w:b w:val="0"/>
          <w:bCs/>
          <w:spacing w:val="-4"/>
        </w:rPr>
      </w:pPr>
      <w:bookmarkStart w:id="187" w:name="_Toc9852"/>
    </w:p>
    <w:p w14:paraId="330DA336">
      <w:pPr>
        <w:pStyle w:val="5"/>
        <w:keepNext w:val="0"/>
        <w:keepLines w:val="0"/>
        <w:spacing w:before="0" w:after="0" w:line="570" w:lineRule="exact"/>
        <w:ind w:firstLine="624" w:firstLineChars="200"/>
        <w:rPr>
          <w:rStyle w:val="24"/>
          <w:rFonts w:ascii="Times New Roman" w:hAnsi="Times New Roman" w:eastAsia="方正黑体_GBK" w:cs="Times New Roman"/>
          <w:b w:val="0"/>
          <w:bCs/>
          <w:spacing w:val="-4"/>
        </w:rPr>
      </w:pPr>
      <w:bookmarkStart w:id="188" w:name="_Toc8363_WPSOffice_Level2"/>
      <w:bookmarkStart w:id="189" w:name="_Toc21711"/>
      <w:bookmarkStart w:id="190" w:name="_Toc338"/>
      <w:r>
        <w:rPr>
          <w:rStyle w:val="24"/>
          <w:rFonts w:ascii="Times New Roman" w:hAnsi="Times New Roman" w:eastAsia="方正黑体_GBK" w:cs="Times New Roman"/>
          <w:b w:val="0"/>
          <w:bCs/>
          <w:spacing w:val="-4"/>
        </w:rPr>
        <w:t>一、深化商事制度改革</w:t>
      </w:r>
      <w:bookmarkEnd w:id="187"/>
      <w:bookmarkEnd w:id="188"/>
      <w:bookmarkEnd w:id="189"/>
      <w:bookmarkEnd w:id="190"/>
    </w:p>
    <w:p w14:paraId="5BF640B8">
      <w:pPr>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bCs/>
          <w:szCs w:val="32"/>
        </w:rPr>
        <w:t>持续深化商事制度改革优化营商环境。加快打造市场化、法治化、国际化营商环境，激发市场主体活力和社会创造力。</w:t>
      </w:r>
    </w:p>
    <w:p w14:paraId="31CB6A13">
      <w:pPr>
        <w:spacing w:line="570" w:lineRule="exact"/>
        <w:ind w:firstLine="640" w:firstLineChars="200"/>
        <w:rPr>
          <w:rFonts w:ascii="Times New Roman" w:hAnsi="Times New Roman" w:eastAsia="方正楷体_GBK" w:cs="Times New Roman"/>
          <w:szCs w:val="32"/>
        </w:rPr>
      </w:pPr>
      <w:bookmarkStart w:id="191" w:name="_Toc5715_WPSOffice_Level3"/>
      <w:r>
        <w:rPr>
          <w:rFonts w:ascii="Times New Roman" w:hAnsi="Times New Roman" w:eastAsia="方正楷体_GBK" w:cs="Times New Roman"/>
          <w:szCs w:val="32"/>
        </w:rPr>
        <w:t>（一）持续激发市场主体活力</w:t>
      </w:r>
      <w:bookmarkEnd w:id="191"/>
    </w:p>
    <w:p w14:paraId="63733295">
      <w:pPr>
        <w:spacing w:line="60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完善准入制度，深入贯彻落实《市场主体登记管理条例》，全面实施市场准入负面清单制度，推动“非禁即入”普遍落实。完善准营制度，深化“证照分离”改革，大力推动“照后减证”和简化审批，破除市场准入隐形壁垒，建立简约高效、公正透明、宽进严管的行业准营规则。完善退出制度，加快推进注销便利化改革，建立市场主体除名制度，提高市场重组、出清的质量和效率；同时，实行歇业登记备案制度，因自然灾害、事故灾难、公共卫生事件和社会安全事件等原因造成经营困难的，市场主体可自主决定在一定时期内歇业，降低市场主体存续成本。到2025年末，全县市场主体力争达到7万户，主体总量在渝东北片区有所提升。</w:t>
      </w:r>
    </w:p>
    <w:p w14:paraId="4DA6C507">
      <w:pPr>
        <w:spacing w:line="600" w:lineRule="exact"/>
        <w:ind w:firstLine="640" w:firstLineChars="200"/>
        <w:rPr>
          <w:rFonts w:ascii="Times New Roman" w:hAnsi="Times New Roman" w:eastAsia="方正楷体_GBK" w:cs="Times New Roman"/>
          <w:szCs w:val="32"/>
        </w:rPr>
      </w:pPr>
      <w:bookmarkStart w:id="192" w:name="_Toc5411_WPSOffice_Level3"/>
      <w:r>
        <w:rPr>
          <w:rFonts w:ascii="Times New Roman" w:hAnsi="Times New Roman" w:eastAsia="方正楷体_GBK" w:cs="Times New Roman"/>
          <w:szCs w:val="32"/>
        </w:rPr>
        <w:t>（二）不断优化市场主体结构</w:t>
      </w:r>
      <w:bookmarkEnd w:id="192"/>
    </w:p>
    <w:p w14:paraId="12580BD6">
      <w:pPr>
        <w:spacing w:line="60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着力转型升级，加快培育现代产业体系。依托全市绿色工业基地建设，围绕绿色建材产业集群、食品加工产业集群、清洁能源产业集群、智能制造产业集群、医药及医疗器械产业集群，延伸产业链条，大力发展工业市场主体，特别是工业企业、规上工业企业。依托国家农业现代化示范区建设，推动以牛、鸡、猪为重点的畜禽产业完善链条、增量提质，建设中国肉牛之都、西部鸡产业高地、国家生猪调出大县，高标准建设榨菜、红心柚等特色产业园，大力发展现代农业市场主体。依托国际知名文化旅游目的地建设，深化资源整合，围绕“吃住行游购娱”一体化旅游服务体系，大力发展文化、旅游产业市场主体。</w:t>
      </w:r>
    </w:p>
    <w:p w14:paraId="3598DA11">
      <w:pPr>
        <w:spacing w:line="600" w:lineRule="exact"/>
        <w:ind w:left="640" w:leftChars="200"/>
        <w:rPr>
          <w:rFonts w:ascii="Times New Roman" w:hAnsi="Times New Roman" w:eastAsia="方正楷体_GBK" w:cs="Times New Roman"/>
          <w:szCs w:val="32"/>
        </w:rPr>
      </w:pPr>
      <w:bookmarkStart w:id="193" w:name="_Toc26856_WPSOffice_Level3"/>
      <w:r>
        <w:rPr>
          <w:rFonts w:ascii="Times New Roman" w:hAnsi="Times New Roman" w:eastAsia="方正楷体_GBK" w:cs="Times New Roman"/>
          <w:szCs w:val="32"/>
        </w:rPr>
        <w:t>（三）稳步提升市场主体质量</w:t>
      </w:r>
      <w:bookmarkEnd w:id="193"/>
    </w:p>
    <w:p w14:paraId="54E694BC">
      <w:pPr>
        <w:spacing w:line="600" w:lineRule="exact"/>
        <w:ind w:firstLine="640" w:firstLineChars="200"/>
        <w:rPr>
          <w:rFonts w:ascii="Times New Roman" w:hAnsi="Times New Roman" w:eastAsia="方正楷体_GBK" w:cs="Times New Roman"/>
          <w:szCs w:val="32"/>
        </w:rPr>
      </w:pPr>
      <w:r>
        <w:rPr>
          <w:rFonts w:ascii="Times New Roman" w:hAnsi="Times New Roman" w:eastAsia="方正仿宋_GBK" w:cs="Times New Roman"/>
          <w:szCs w:val="32"/>
        </w:rPr>
        <w:t>推动个体工商户转型升级，支持初创型企业成长，建立重点培育市场主体库，持续推进个转企、小升规、规改股、股上市，支持规模以上工业企业、资质等级建筑业企业、限额以上批零住宿餐饮企业、限额以上服务业企业规模发展，实施优质企业梯度培育。招强引优，围绕主导产业强链、新兴产业补链、特色优势产业延链，持续推动定向招商、以商招商，重点引进投入大、效益好、带动性强的项目和企业。</w:t>
      </w:r>
    </w:p>
    <w:p w14:paraId="1DB658A7">
      <w:pPr>
        <w:spacing w:line="600" w:lineRule="exact"/>
        <w:ind w:left="640" w:leftChars="200"/>
        <w:rPr>
          <w:rFonts w:ascii="Times New Roman" w:hAnsi="Times New Roman" w:eastAsia="方正楷体_GBK" w:cs="Times New Roman"/>
          <w:szCs w:val="32"/>
        </w:rPr>
      </w:pPr>
      <w:bookmarkStart w:id="194" w:name="_Toc8363_WPSOffice_Level3"/>
      <w:r>
        <w:rPr>
          <w:rFonts w:ascii="Times New Roman" w:hAnsi="Times New Roman" w:eastAsia="方正楷体_GBK" w:cs="Times New Roman"/>
          <w:szCs w:val="32"/>
        </w:rPr>
        <w:t>（四）切实解决市场主体困难</w:t>
      </w:r>
      <w:bookmarkEnd w:id="194"/>
    </w:p>
    <w:p w14:paraId="7399D575">
      <w:pPr>
        <w:spacing w:line="600" w:lineRule="exact"/>
        <w:ind w:firstLine="640" w:firstLineChars="200"/>
        <w:rPr>
          <w:rFonts w:ascii="Times New Roman" w:hAnsi="Times New Roman" w:cs="Times New Roman"/>
        </w:rPr>
      </w:pPr>
      <w:r>
        <w:rPr>
          <w:rFonts w:ascii="Times New Roman" w:hAnsi="Times New Roman" w:eastAsia="方正仿宋_GBK" w:cs="Times New Roman"/>
          <w:szCs w:val="32"/>
        </w:rPr>
        <w:t>以促进市场健康发展为重点，强化各部门、特别是各行业主管部门政策引导，加强涉企惠企政策落实，巩固拓展减税降费成效，强化知识产权创造保护运用，切实为企业“纾困”。切实强化要素保障，深化要素市场化改革提高配置效率，降低企业用地、用电、用气、物流、融资等成本。完善企业服务体系，全面落实《丰都县服务企业十项举措》，深化干部联系服务企业机制，开通问题“直通车”，大力营造服务好企业、支持企业家工作的良好氛围，推动全县各类企业在新发展格局中健康成长、蓬勃发展。</w:t>
      </w:r>
    </w:p>
    <w:p w14:paraId="22B26592">
      <w:pPr>
        <w:adjustRightInd w:val="0"/>
        <w:snapToGrid w:val="0"/>
        <w:jc w:val="center"/>
        <w:outlineLvl w:val="2"/>
        <w:rPr>
          <w:rFonts w:ascii="Times New Roman" w:hAnsi="Times New Roman" w:eastAsia="方正黑体_GBK" w:cs="Times New Roman"/>
          <w:bCs/>
          <w:szCs w:val="32"/>
          <w:lang w:val="zh-CN"/>
        </w:rPr>
      </w:pPr>
    </w:p>
    <w:p w14:paraId="1F09DB50">
      <w:pPr>
        <w:adjustRightInd w:val="0"/>
        <w:snapToGrid w:val="0"/>
        <w:jc w:val="center"/>
        <w:outlineLvl w:val="2"/>
        <w:rPr>
          <w:rFonts w:ascii="Times New Roman" w:hAnsi="Times New Roman" w:eastAsia="方正黑体_GBK" w:cs="Times New Roman"/>
          <w:szCs w:val="32"/>
          <w:lang w:val="zh-CN"/>
        </w:rPr>
      </w:pPr>
      <w:bookmarkStart w:id="195" w:name="_Toc2501"/>
      <w:bookmarkStart w:id="196" w:name="_Toc13598_WPSOffice_Level2"/>
      <w:bookmarkStart w:id="197" w:name="_Toc30074"/>
      <w:r>
        <w:rPr>
          <w:rFonts w:ascii="Times New Roman" w:hAnsi="Times New Roman" w:eastAsia="方正黑体_GBK" w:cs="Times New Roman"/>
          <w:bCs/>
          <w:szCs w:val="32"/>
          <w:lang w:val="zh-CN"/>
        </w:rPr>
        <w:t>丰都县</w:t>
      </w:r>
      <w:r>
        <w:rPr>
          <w:rFonts w:ascii="Times New Roman" w:hAnsi="Times New Roman" w:eastAsia="方正黑体_GBK" w:cs="Times New Roman"/>
          <w:szCs w:val="32"/>
          <w:lang w:val="zh-CN"/>
        </w:rPr>
        <w:t>“十四五”期间市场主体预期发展目标</w:t>
      </w:r>
      <w:bookmarkEnd w:id="195"/>
      <w:bookmarkEnd w:id="196"/>
      <w:bookmarkEnd w:id="197"/>
    </w:p>
    <w:tbl>
      <w:tblPr>
        <w:tblStyle w:val="21"/>
        <w:tblpPr w:leftFromText="180" w:rightFromText="180" w:vertAnchor="text" w:horzAnchor="page" w:tblpX="1240" w:tblpY="620"/>
        <w:tblOverlap w:val="never"/>
        <w:tblW w:w="9630" w:type="dxa"/>
        <w:tblInd w:w="0" w:type="dxa"/>
        <w:tblLayout w:type="fixed"/>
        <w:tblCellMar>
          <w:top w:w="0" w:type="dxa"/>
          <w:left w:w="108" w:type="dxa"/>
          <w:bottom w:w="0" w:type="dxa"/>
          <w:right w:w="108" w:type="dxa"/>
        </w:tblCellMar>
      </w:tblPr>
      <w:tblGrid>
        <w:gridCol w:w="2535"/>
        <w:gridCol w:w="1275"/>
        <w:gridCol w:w="2055"/>
        <w:gridCol w:w="765"/>
        <w:gridCol w:w="2175"/>
        <w:gridCol w:w="825"/>
      </w:tblGrid>
      <w:tr w14:paraId="27809143">
        <w:tblPrEx>
          <w:tblCellMar>
            <w:top w:w="0" w:type="dxa"/>
            <w:left w:w="108" w:type="dxa"/>
            <w:bottom w:w="0" w:type="dxa"/>
            <w:right w:w="108" w:type="dxa"/>
          </w:tblCellMar>
        </w:tblPrEx>
        <w:trPr>
          <w:trHeight w:val="300" w:hRule="atLeast"/>
        </w:trPr>
        <w:tc>
          <w:tcPr>
            <w:tcW w:w="25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AB2C353">
            <w:pPr>
              <w:jc w:val="center"/>
              <w:textAlignment w:val="center"/>
              <w:rPr>
                <w:rFonts w:ascii="Times New Roman" w:hAnsi="Times New Roman" w:cs="Times New Roman" w:eastAsiaTheme="minorEastAsia"/>
                <w:b/>
                <w:bCs/>
                <w:color w:val="000000"/>
                <w:sz w:val="24"/>
                <w:szCs w:val="24"/>
              </w:rPr>
            </w:pPr>
            <w:r>
              <w:rPr>
                <w:rFonts w:ascii="Times New Roman" w:hAnsi="Times New Roman" w:cs="Times New Roman" w:eastAsiaTheme="minorEastAsia"/>
                <w:b/>
                <w:bCs/>
                <w:color w:val="000000"/>
                <w:kern w:val="0"/>
                <w:sz w:val="24"/>
                <w:szCs w:val="24"/>
              </w:rPr>
              <w:t>行业类别</w:t>
            </w:r>
          </w:p>
        </w:tc>
        <w:tc>
          <w:tcPr>
            <w:tcW w:w="1275" w:type="dxa"/>
            <w:vMerge w:val="restart"/>
            <w:tcBorders>
              <w:top w:val="single" w:color="000000" w:sz="8" w:space="0"/>
              <w:left w:val="nil"/>
              <w:bottom w:val="single" w:color="000000" w:sz="8" w:space="0"/>
              <w:right w:val="single" w:color="000000" w:sz="8" w:space="0"/>
            </w:tcBorders>
            <w:shd w:val="clear" w:color="auto" w:fill="auto"/>
            <w:vAlign w:val="center"/>
          </w:tcPr>
          <w:p w14:paraId="272FCEC0">
            <w:pPr>
              <w:jc w:val="center"/>
              <w:textAlignment w:val="center"/>
              <w:rPr>
                <w:rFonts w:ascii="Times New Roman" w:hAnsi="Times New Roman" w:cs="Times New Roman" w:eastAsiaTheme="minorEastAsia"/>
                <w:b/>
                <w:bCs/>
                <w:color w:val="000000"/>
                <w:sz w:val="24"/>
                <w:szCs w:val="24"/>
              </w:rPr>
            </w:pPr>
            <w:r>
              <w:rPr>
                <w:rFonts w:ascii="Times New Roman" w:hAnsi="Times New Roman" w:cs="Times New Roman" w:eastAsiaTheme="minorEastAsia"/>
                <w:b/>
                <w:bCs/>
                <w:color w:val="000000"/>
                <w:kern w:val="0"/>
                <w:sz w:val="24"/>
                <w:szCs w:val="24"/>
              </w:rPr>
              <w:t>产业类别</w:t>
            </w:r>
          </w:p>
        </w:tc>
        <w:tc>
          <w:tcPr>
            <w:tcW w:w="2055" w:type="dxa"/>
            <w:tcBorders>
              <w:top w:val="single" w:color="000000" w:sz="8" w:space="0"/>
              <w:left w:val="nil"/>
              <w:bottom w:val="nil"/>
              <w:right w:val="single" w:color="000000" w:sz="8" w:space="0"/>
            </w:tcBorders>
            <w:shd w:val="clear" w:color="auto" w:fill="auto"/>
            <w:vAlign w:val="center"/>
          </w:tcPr>
          <w:p w14:paraId="6953C326">
            <w:pPr>
              <w:jc w:val="center"/>
              <w:textAlignment w:val="center"/>
              <w:rPr>
                <w:rFonts w:ascii="Times New Roman" w:hAnsi="Times New Roman" w:cs="Times New Roman" w:eastAsiaTheme="minorEastAsia"/>
                <w:b/>
                <w:bCs/>
                <w:color w:val="000000"/>
                <w:sz w:val="24"/>
                <w:szCs w:val="24"/>
              </w:rPr>
            </w:pPr>
            <w:r>
              <w:rPr>
                <w:rFonts w:ascii="Times New Roman" w:hAnsi="Times New Roman" w:cs="Times New Roman" w:eastAsiaTheme="minorEastAsia"/>
                <w:b/>
                <w:bCs/>
                <w:color w:val="000000"/>
                <w:kern w:val="0"/>
                <w:sz w:val="24"/>
                <w:szCs w:val="24"/>
              </w:rPr>
              <w:t>“十四五”期间市场主体发展目标</w:t>
            </w:r>
          </w:p>
        </w:tc>
        <w:tc>
          <w:tcPr>
            <w:tcW w:w="765" w:type="dxa"/>
            <w:vMerge w:val="restart"/>
            <w:tcBorders>
              <w:top w:val="single" w:color="000000" w:sz="8" w:space="0"/>
              <w:left w:val="nil"/>
              <w:bottom w:val="single" w:color="000000" w:sz="8" w:space="0"/>
              <w:right w:val="single" w:color="000000" w:sz="8" w:space="0"/>
            </w:tcBorders>
            <w:shd w:val="clear" w:color="auto" w:fill="auto"/>
            <w:vAlign w:val="center"/>
          </w:tcPr>
          <w:p w14:paraId="4C004B96">
            <w:pPr>
              <w:jc w:val="center"/>
              <w:textAlignment w:val="center"/>
              <w:rPr>
                <w:rFonts w:ascii="Times New Roman" w:hAnsi="Times New Roman" w:cs="Times New Roman" w:eastAsiaTheme="minorEastAsia"/>
                <w:b/>
                <w:bCs/>
                <w:color w:val="000000"/>
                <w:sz w:val="24"/>
                <w:szCs w:val="24"/>
              </w:rPr>
            </w:pPr>
            <w:r>
              <w:rPr>
                <w:rFonts w:ascii="Times New Roman" w:hAnsi="Times New Roman" w:cs="Times New Roman" w:eastAsiaTheme="minorEastAsia"/>
                <w:b/>
                <w:bCs/>
                <w:color w:val="000000"/>
                <w:kern w:val="0"/>
                <w:sz w:val="24"/>
                <w:szCs w:val="24"/>
              </w:rPr>
              <w:t>合计</w:t>
            </w:r>
          </w:p>
        </w:tc>
        <w:tc>
          <w:tcPr>
            <w:tcW w:w="2175" w:type="dxa"/>
            <w:tcBorders>
              <w:top w:val="single" w:color="000000" w:sz="8" w:space="0"/>
              <w:left w:val="nil"/>
              <w:bottom w:val="nil"/>
              <w:right w:val="single" w:color="000000" w:sz="8" w:space="0"/>
            </w:tcBorders>
            <w:shd w:val="clear" w:color="auto" w:fill="auto"/>
            <w:vAlign w:val="center"/>
          </w:tcPr>
          <w:p w14:paraId="407FC6F8">
            <w:pPr>
              <w:jc w:val="center"/>
              <w:textAlignment w:val="center"/>
              <w:rPr>
                <w:rFonts w:ascii="Times New Roman" w:hAnsi="Times New Roman" w:cs="Times New Roman" w:eastAsiaTheme="minorEastAsia"/>
                <w:b/>
                <w:bCs/>
                <w:color w:val="000000"/>
                <w:sz w:val="24"/>
                <w:szCs w:val="24"/>
              </w:rPr>
            </w:pPr>
            <w:r>
              <w:rPr>
                <w:rFonts w:ascii="Times New Roman" w:hAnsi="Times New Roman" w:cs="Times New Roman" w:eastAsiaTheme="minorEastAsia"/>
                <w:b/>
                <w:bCs/>
                <w:color w:val="000000"/>
                <w:kern w:val="0"/>
                <w:sz w:val="24"/>
                <w:szCs w:val="24"/>
              </w:rPr>
              <w:t>“十四五”末丰都县市场主体实有数</w:t>
            </w:r>
          </w:p>
        </w:tc>
        <w:tc>
          <w:tcPr>
            <w:tcW w:w="825" w:type="dxa"/>
            <w:vMerge w:val="restart"/>
            <w:tcBorders>
              <w:top w:val="single" w:color="000000" w:sz="8" w:space="0"/>
              <w:left w:val="nil"/>
              <w:bottom w:val="single" w:color="000000" w:sz="8" w:space="0"/>
              <w:right w:val="single" w:color="000000" w:sz="8" w:space="0"/>
            </w:tcBorders>
            <w:shd w:val="clear" w:color="auto" w:fill="auto"/>
            <w:vAlign w:val="center"/>
          </w:tcPr>
          <w:p w14:paraId="2A96E6D2">
            <w:pPr>
              <w:jc w:val="center"/>
              <w:textAlignment w:val="center"/>
              <w:rPr>
                <w:rFonts w:ascii="Times New Roman" w:hAnsi="Times New Roman" w:cs="Times New Roman" w:eastAsiaTheme="minorEastAsia"/>
                <w:b/>
                <w:bCs/>
                <w:color w:val="000000"/>
                <w:sz w:val="24"/>
                <w:szCs w:val="24"/>
              </w:rPr>
            </w:pPr>
            <w:r>
              <w:rPr>
                <w:rFonts w:ascii="Times New Roman" w:hAnsi="Times New Roman" w:cs="Times New Roman" w:eastAsiaTheme="minorEastAsia"/>
                <w:b/>
                <w:bCs/>
                <w:color w:val="000000"/>
                <w:kern w:val="0"/>
                <w:sz w:val="24"/>
                <w:szCs w:val="24"/>
              </w:rPr>
              <w:t>合计</w:t>
            </w:r>
          </w:p>
        </w:tc>
      </w:tr>
      <w:tr w14:paraId="020D336A">
        <w:tblPrEx>
          <w:tblCellMar>
            <w:top w:w="0" w:type="dxa"/>
            <w:left w:w="108" w:type="dxa"/>
            <w:bottom w:w="0" w:type="dxa"/>
            <w:right w:w="108" w:type="dxa"/>
          </w:tblCellMar>
        </w:tblPrEx>
        <w:trPr>
          <w:trHeight w:val="285" w:hRule="atLeast"/>
        </w:trPr>
        <w:tc>
          <w:tcPr>
            <w:tcW w:w="25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AD3347">
            <w:pPr>
              <w:jc w:val="center"/>
              <w:rPr>
                <w:rFonts w:ascii="Times New Roman" w:hAnsi="Times New Roman" w:cs="Times New Roman" w:eastAsiaTheme="minorEastAsia"/>
                <w:b/>
                <w:bCs/>
                <w:color w:val="000000"/>
                <w:sz w:val="24"/>
                <w:szCs w:val="24"/>
              </w:rPr>
            </w:pPr>
          </w:p>
        </w:tc>
        <w:tc>
          <w:tcPr>
            <w:tcW w:w="1275" w:type="dxa"/>
            <w:vMerge w:val="continue"/>
            <w:tcBorders>
              <w:top w:val="single" w:color="000000" w:sz="8" w:space="0"/>
              <w:left w:val="nil"/>
              <w:bottom w:val="single" w:color="000000" w:sz="8" w:space="0"/>
              <w:right w:val="single" w:color="000000" w:sz="8" w:space="0"/>
            </w:tcBorders>
            <w:shd w:val="clear" w:color="auto" w:fill="auto"/>
            <w:vAlign w:val="center"/>
          </w:tcPr>
          <w:p w14:paraId="026B30CE">
            <w:pPr>
              <w:jc w:val="center"/>
              <w:rPr>
                <w:rFonts w:ascii="Times New Roman" w:hAnsi="Times New Roman" w:cs="Times New Roman" w:eastAsiaTheme="minorEastAsia"/>
                <w:b/>
                <w:bCs/>
                <w:color w:val="000000"/>
                <w:sz w:val="24"/>
                <w:szCs w:val="24"/>
              </w:rPr>
            </w:pPr>
          </w:p>
        </w:tc>
        <w:tc>
          <w:tcPr>
            <w:tcW w:w="2055" w:type="dxa"/>
            <w:tcBorders>
              <w:top w:val="nil"/>
              <w:left w:val="nil"/>
              <w:bottom w:val="nil"/>
              <w:right w:val="single" w:color="000000" w:sz="8" w:space="0"/>
            </w:tcBorders>
            <w:shd w:val="clear" w:color="auto" w:fill="auto"/>
            <w:vAlign w:val="center"/>
          </w:tcPr>
          <w:p w14:paraId="108684DD">
            <w:pPr>
              <w:jc w:val="center"/>
              <w:textAlignment w:val="center"/>
              <w:rPr>
                <w:rFonts w:ascii="Times New Roman" w:hAnsi="Times New Roman" w:cs="Times New Roman" w:eastAsiaTheme="minorEastAsia"/>
                <w:b/>
                <w:bCs/>
                <w:color w:val="000000"/>
                <w:sz w:val="24"/>
                <w:szCs w:val="24"/>
              </w:rPr>
            </w:pPr>
            <w:r>
              <w:rPr>
                <w:rFonts w:ascii="Times New Roman" w:hAnsi="Times New Roman" w:cs="Times New Roman" w:eastAsiaTheme="minorEastAsia"/>
                <w:b/>
                <w:bCs/>
                <w:color w:val="000000"/>
                <w:kern w:val="0"/>
                <w:sz w:val="24"/>
                <w:szCs w:val="24"/>
              </w:rPr>
              <w:t>（单位：户）</w:t>
            </w:r>
          </w:p>
        </w:tc>
        <w:tc>
          <w:tcPr>
            <w:tcW w:w="765" w:type="dxa"/>
            <w:vMerge w:val="continue"/>
            <w:tcBorders>
              <w:top w:val="single" w:color="000000" w:sz="8" w:space="0"/>
              <w:left w:val="nil"/>
              <w:bottom w:val="single" w:color="000000" w:sz="8" w:space="0"/>
              <w:right w:val="single" w:color="000000" w:sz="8" w:space="0"/>
            </w:tcBorders>
            <w:shd w:val="clear" w:color="auto" w:fill="auto"/>
            <w:vAlign w:val="center"/>
          </w:tcPr>
          <w:p w14:paraId="3614C764">
            <w:pPr>
              <w:jc w:val="center"/>
              <w:rPr>
                <w:rFonts w:ascii="Times New Roman" w:hAnsi="Times New Roman" w:cs="Times New Roman" w:eastAsiaTheme="minorEastAsia"/>
                <w:b/>
                <w:bCs/>
                <w:color w:val="000000"/>
                <w:sz w:val="24"/>
                <w:szCs w:val="24"/>
              </w:rPr>
            </w:pPr>
          </w:p>
        </w:tc>
        <w:tc>
          <w:tcPr>
            <w:tcW w:w="2175" w:type="dxa"/>
            <w:tcBorders>
              <w:top w:val="nil"/>
              <w:left w:val="nil"/>
              <w:bottom w:val="nil"/>
              <w:right w:val="single" w:color="000000" w:sz="8" w:space="0"/>
            </w:tcBorders>
            <w:shd w:val="clear" w:color="auto" w:fill="auto"/>
            <w:vAlign w:val="center"/>
          </w:tcPr>
          <w:p w14:paraId="1AD16853">
            <w:pPr>
              <w:jc w:val="center"/>
              <w:textAlignment w:val="center"/>
              <w:rPr>
                <w:rFonts w:ascii="Times New Roman" w:hAnsi="Times New Roman" w:cs="Times New Roman" w:eastAsiaTheme="minorEastAsia"/>
                <w:b/>
                <w:bCs/>
                <w:color w:val="000000"/>
                <w:sz w:val="24"/>
                <w:szCs w:val="24"/>
              </w:rPr>
            </w:pPr>
            <w:r>
              <w:rPr>
                <w:rFonts w:ascii="Times New Roman" w:hAnsi="Times New Roman" w:cs="Times New Roman" w:eastAsiaTheme="minorEastAsia"/>
                <w:b/>
                <w:bCs/>
                <w:color w:val="000000"/>
                <w:kern w:val="0"/>
                <w:sz w:val="24"/>
                <w:szCs w:val="24"/>
              </w:rPr>
              <w:t>（单位：户）</w:t>
            </w:r>
          </w:p>
        </w:tc>
        <w:tc>
          <w:tcPr>
            <w:tcW w:w="825" w:type="dxa"/>
            <w:vMerge w:val="continue"/>
            <w:tcBorders>
              <w:top w:val="single" w:color="000000" w:sz="8" w:space="0"/>
              <w:left w:val="nil"/>
              <w:bottom w:val="single" w:color="000000" w:sz="8" w:space="0"/>
              <w:right w:val="single" w:color="000000" w:sz="8" w:space="0"/>
            </w:tcBorders>
            <w:shd w:val="clear" w:color="auto" w:fill="auto"/>
            <w:vAlign w:val="center"/>
          </w:tcPr>
          <w:p w14:paraId="13ECA476">
            <w:pPr>
              <w:jc w:val="center"/>
              <w:rPr>
                <w:rFonts w:ascii="Times New Roman" w:hAnsi="Times New Roman" w:cs="Times New Roman" w:eastAsiaTheme="minorEastAsia"/>
                <w:b/>
                <w:bCs/>
                <w:color w:val="000000"/>
                <w:sz w:val="24"/>
                <w:szCs w:val="24"/>
              </w:rPr>
            </w:pPr>
          </w:p>
        </w:tc>
      </w:tr>
      <w:tr w14:paraId="7F981B2C">
        <w:tblPrEx>
          <w:tblCellMar>
            <w:top w:w="0" w:type="dxa"/>
            <w:left w:w="108" w:type="dxa"/>
            <w:bottom w:w="0" w:type="dxa"/>
            <w:right w:w="108" w:type="dxa"/>
          </w:tblCellMar>
        </w:tblPrEx>
        <w:trPr>
          <w:trHeight w:val="31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DA0BD">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农、林、牧、渔业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08D9">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第一产业</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BA81">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1250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2897">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1250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C02B">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8280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2B9F">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8280</w:t>
            </w:r>
          </w:p>
        </w:tc>
      </w:tr>
      <w:tr w14:paraId="66FDEDE2">
        <w:tblPrEx>
          <w:tblCellMar>
            <w:top w:w="0" w:type="dxa"/>
            <w:left w:w="108" w:type="dxa"/>
            <w:bottom w:w="0" w:type="dxa"/>
            <w:right w:w="108" w:type="dxa"/>
          </w:tblCellMar>
        </w:tblPrEx>
        <w:trPr>
          <w:trHeight w:val="31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BB30A">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采矿业</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1CBAE">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第二产业</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AC25">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42303">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595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25FB">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47</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0A232">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4166</w:t>
            </w:r>
          </w:p>
        </w:tc>
      </w:tr>
      <w:tr w14:paraId="3E590D82">
        <w:tblPrEx>
          <w:tblCellMar>
            <w:top w:w="0" w:type="dxa"/>
            <w:left w:w="108" w:type="dxa"/>
            <w:bottom w:w="0" w:type="dxa"/>
            <w:right w:w="108" w:type="dxa"/>
          </w:tblCellMar>
        </w:tblPrEx>
        <w:trPr>
          <w:trHeight w:val="31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D52B3">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制造业</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C400">
            <w:pPr>
              <w:jc w:val="center"/>
              <w:rPr>
                <w:rFonts w:ascii="Times New Roman" w:hAnsi="Times New Roman" w:cs="Times New Roman" w:eastAsiaTheme="minorEastAsia"/>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8AC0">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471</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942DA">
            <w:pPr>
              <w:jc w:val="center"/>
              <w:rPr>
                <w:rFonts w:ascii="Times New Roman" w:hAnsi="Times New Roman" w:cs="Times New Roman" w:eastAsiaTheme="minorEastAsia"/>
                <w:color w:val="00000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1F74">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3300</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504DA">
            <w:pPr>
              <w:jc w:val="center"/>
              <w:rPr>
                <w:rFonts w:ascii="Times New Roman" w:hAnsi="Times New Roman" w:cs="Times New Roman" w:eastAsiaTheme="minorEastAsia"/>
                <w:color w:val="000000"/>
                <w:sz w:val="24"/>
                <w:szCs w:val="24"/>
              </w:rPr>
            </w:pPr>
          </w:p>
        </w:tc>
      </w:tr>
      <w:tr w14:paraId="1C19E803">
        <w:tblPrEx>
          <w:tblCellMar>
            <w:top w:w="0" w:type="dxa"/>
            <w:left w:w="108" w:type="dxa"/>
            <w:bottom w:w="0" w:type="dxa"/>
            <w:right w:w="108" w:type="dxa"/>
          </w:tblCellMar>
        </w:tblPrEx>
        <w:trPr>
          <w:trHeight w:val="31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D80C7">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电力、热力、燃气及水生产和供应业</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4391D">
            <w:pPr>
              <w:jc w:val="center"/>
              <w:rPr>
                <w:rFonts w:ascii="Times New Roman" w:hAnsi="Times New Roman" w:cs="Times New Roman" w:eastAsiaTheme="minorEastAsia"/>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8B51">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21</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2D018">
            <w:pPr>
              <w:jc w:val="center"/>
              <w:rPr>
                <w:rFonts w:ascii="Times New Roman" w:hAnsi="Times New Roman" w:cs="Times New Roman" w:eastAsiaTheme="minorEastAsia"/>
                <w:color w:val="00000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C507">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144</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72B7F">
            <w:pPr>
              <w:jc w:val="center"/>
              <w:rPr>
                <w:rFonts w:ascii="Times New Roman" w:hAnsi="Times New Roman" w:cs="Times New Roman" w:eastAsiaTheme="minorEastAsia"/>
                <w:color w:val="000000"/>
                <w:sz w:val="24"/>
                <w:szCs w:val="24"/>
              </w:rPr>
            </w:pPr>
          </w:p>
        </w:tc>
      </w:tr>
      <w:tr w14:paraId="6977108B">
        <w:tblPrEx>
          <w:tblCellMar>
            <w:top w:w="0" w:type="dxa"/>
            <w:left w:w="108" w:type="dxa"/>
            <w:bottom w:w="0" w:type="dxa"/>
            <w:right w:w="108" w:type="dxa"/>
          </w:tblCellMar>
        </w:tblPrEx>
        <w:trPr>
          <w:trHeight w:val="31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BBD5">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建筑业</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27CF0">
            <w:pPr>
              <w:jc w:val="center"/>
              <w:rPr>
                <w:rFonts w:ascii="Times New Roman" w:hAnsi="Times New Roman" w:cs="Times New Roman" w:eastAsiaTheme="minorEastAsia"/>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25C7">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96</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A1E61">
            <w:pPr>
              <w:jc w:val="center"/>
              <w:rPr>
                <w:rFonts w:ascii="Times New Roman" w:hAnsi="Times New Roman" w:cs="Times New Roman" w:eastAsiaTheme="minorEastAsia"/>
                <w:color w:val="00000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B0EB">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675</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41573">
            <w:pPr>
              <w:jc w:val="center"/>
              <w:rPr>
                <w:rFonts w:ascii="Times New Roman" w:hAnsi="Times New Roman" w:cs="Times New Roman" w:eastAsiaTheme="minorEastAsia"/>
                <w:color w:val="000000"/>
                <w:sz w:val="24"/>
                <w:szCs w:val="24"/>
              </w:rPr>
            </w:pPr>
          </w:p>
        </w:tc>
      </w:tr>
      <w:tr w14:paraId="626EB67C">
        <w:tblPrEx>
          <w:tblCellMar>
            <w:top w:w="0" w:type="dxa"/>
            <w:left w:w="108" w:type="dxa"/>
            <w:bottom w:w="0" w:type="dxa"/>
            <w:right w:w="108" w:type="dxa"/>
          </w:tblCellMar>
        </w:tblPrEx>
        <w:trPr>
          <w:trHeight w:val="31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791C6">
            <w:pPr>
              <w:jc w:val="center"/>
              <w:textAlignment w:val="center"/>
              <w:rPr>
                <w:rFonts w:ascii="Times New Roman" w:hAnsi="Times New Roman" w:cs="Times New Roman" w:eastAsiaTheme="minorEastAsia"/>
                <w:b/>
                <w:bCs/>
                <w:color w:val="000000"/>
                <w:sz w:val="24"/>
                <w:szCs w:val="24"/>
              </w:rPr>
            </w:pPr>
            <w:r>
              <w:rPr>
                <w:rFonts w:ascii="Times New Roman" w:hAnsi="Times New Roman" w:cs="Times New Roman" w:eastAsiaTheme="minorEastAsia"/>
                <w:color w:val="000000"/>
                <w:kern w:val="0"/>
                <w:sz w:val="24"/>
                <w:szCs w:val="24"/>
              </w:rPr>
              <w:t>批发和零售业</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855F6">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第三产业</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9DC5">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5802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FFBF2">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8155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0B05">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40547</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A179F">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57620</w:t>
            </w:r>
          </w:p>
        </w:tc>
      </w:tr>
      <w:tr w14:paraId="4C3540BC">
        <w:tblPrEx>
          <w:tblCellMar>
            <w:top w:w="0" w:type="dxa"/>
            <w:left w:w="108" w:type="dxa"/>
            <w:bottom w:w="0" w:type="dxa"/>
            <w:right w:w="108" w:type="dxa"/>
          </w:tblCellMar>
        </w:tblPrEx>
        <w:trPr>
          <w:trHeight w:val="31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1326B">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交通运输、仓储和邮政业</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98CD9">
            <w:pPr>
              <w:jc w:val="center"/>
              <w:rPr>
                <w:rFonts w:ascii="Times New Roman" w:hAnsi="Times New Roman" w:cs="Times New Roman" w:eastAsiaTheme="minorEastAsia"/>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2B2F">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334</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8FDAA">
            <w:pPr>
              <w:jc w:val="center"/>
              <w:rPr>
                <w:rFonts w:ascii="Times New Roman" w:hAnsi="Times New Roman" w:cs="Times New Roman" w:eastAsiaTheme="minorEastAsia"/>
                <w:color w:val="00000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438F">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2340</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500C">
            <w:pPr>
              <w:jc w:val="center"/>
              <w:rPr>
                <w:rFonts w:ascii="Times New Roman" w:hAnsi="Times New Roman" w:cs="Times New Roman" w:eastAsiaTheme="minorEastAsia"/>
                <w:color w:val="000000"/>
                <w:sz w:val="24"/>
                <w:szCs w:val="24"/>
              </w:rPr>
            </w:pPr>
          </w:p>
        </w:tc>
      </w:tr>
      <w:tr w14:paraId="2F1F1D35">
        <w:tblPrEx>
          <w:tblCellMar>
            <w:top w:w="0" w:type="dxa"/>
            <w:left w:w="108" w:type="dxa"/>
            <w:bottom w:w="0" w:type="dxa"/>
            <w:right w:w="108" w:type="dxa"/>
          </w:tblCellMar>
        </w:tblPrEx>
        <w:trPr>
          <w:trHeight w:val="31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16C65">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住宿和餐饮业</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9015C">
            <w:pPr>
              <w:jc w:val="center"/>
              <w:rPr>
                <w:rFonts w:ascii="Times New Roman" w:hAnsi="Times New Roman" w:cs="Times New Roman" w:eastAsiaTheme="minorEastAsia"/>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AFEC">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966</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57CA3">
            <w:pPr>
              <w:jc w:val="center"/>
              <w:rPr>
                <w:rFonts w:ascii="Times New Roman" w:hAnsi="Times New Roman" w:cs="Times New Roman" w:eastAsiaTheme="minorEastAsia"/>
                <w:color w:val="00000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BAA4">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6725</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7C3D5">
            <w:pPr>
              <w:jc w:val="center"/>
              <w:rPr>
                <w:rFonts w:ascii="Times New Roman" w:hAnsi="Times New Roman" w:cs="Times New Roman" w:eastAsiaTheme="minorEastAsia"/>
                <w:color w:val="000000"/>
                <w:sz w:val="24"/>
                <w:szCs w:val="24"/>
              </w:rPr>
            </w:pPr>
          </w:p>
        </w:tc>
      </w:tr>
      <w:tr w14:paraId="47029031">
        <w:tblPrEx>
          <w:tblCellMar>
            <w:top w:w="0" w:type="dxa"/>
            <w:left w:w="108" w:type="dxa"/>
            <w:bottom w:w="0" w:type="dxa"/>
            <w:right w:w="108" w:type="dxa"/>
          </w:tblCellMar>
        </w:tblPrEx>
        <w:trPr>
          <w:trHeight w:val="31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C3BC1">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信息传输、软件和信息技术服务业</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44198">
            <w:pPr>
              <w:jc w:val="center"/>
              <w:rPr>
                <w:rFonts w:ascii="Times New Roman" w:hAnsi="Times New Roman" w:cs="Times New Roman" w:eastAsiaTheme="minorEastAsia"/>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D136">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101</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7BEB5">
            <w:pPr>
              <w:jc w:val="center"/>
              <w:rPr>
                <w:rFonts w:ascii="Times New Roman" w:hAnsi="Times New Roman" w:cs="Times New Roman" w:eastAsiaTheme="minorEastAsia"/>
                <w:color w:val="00000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1597">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708</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F1BDE">
            <w:pPr>
              <w:jc w:val="center"/>
              <w:rPr>
                <w:rFonts w:ascii="Times New Roman" w:hAnsi="Times New Roman" w:cs="Times New Roman" w:eastAsiaTheme="minorEastAsia"/>
                <w:color w:val="000000"/>
                <w:sz w:val="24"/>
                <w:szCs w:val="24"/>
              </w:rPr>
            </w:pPr>
          </w:p>
        </w:tc>
      </w:tr>
      <w:tr w14:paraId="67F02E24">
        <w:tblPrEx>
          <w:tblCellMar>
            <w:top w:w="0" w:type="dxa"/>
            <w:left w:w="108" w:type="dxa"/>
            <w:bottom w:w="0" w:type="dxa"/>
            <w:right w:w="108" w:type="dxa"/>
          </w:tblCellMar>
        </w:tblPrEx>
        <w:trPr>
          <w:trHeight w:val="31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D515A">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金融业</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40983">
            <w:pPr>
              <w:jc w:val="center"/>
              <w:rPr>
                <w:rFonts w:ascii="Times New Roman" w:hAnsi="Times New Roman" w:cs="Times New Roman" w:eastAsiaTheme="minorEastAsia"/>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BADF">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5</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EBAF5">
            <w:pPr>
              <w:jc w:val="center"/>
              <w:rPr>
                <w:rFonts w:ascii="Times New Roman" w:hAnsi="Times New Roman" w:cs="Times New Roman" w:eastAsiaTheme="minorEastAsia"/>
                <w:color w:val="00000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DF00">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223</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A5ED8">
            <w:pPr>
              <w:jc w:val="center"/>
              <w:rPr>
                <w:rFonts w:ascii="Times New Roman" w:hAnsi="Times New Roman" w:cs="Times New Roman" w:eastAsiaTheme="minorEastAsia"/>
                <w:color w:val="000000"/>
                <w:sz w:val="24"/>
                <w:szCs w:val="24"/>
              </w:rPr>
            </w:pPr>
          </w:p>
        </w:tc>
      </w:tr>
      <w:tr w14:paraId="06212C59">
        <w:tblPrEx>
          <w:tblCellMar>
            <w:top w:w="0" w:type="dxa"/>
            <w:left w:w="108" w:type="dxa"/>
            <w:bottom w:w="0" w:type="dxa"/>
            <w:right w:w="108" w:type="dxa"/>
          </w:tblCellMar>
        </w:tblPrEx>
        <w:trPr>
          <w:trHeight w:val="31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4DCAB">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房地产业</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21180">
            <w:pPr>
              <w:jc w:val="center"/>
              <w:rPr>
                <w:rFonts w:ascii="Times New Roman" w:hAnsi="Times New Roman" w:cs="Times New Roman" w:eastAsiaTheme="minorEastAsia"/>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3E5A">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-19</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346F0">
            <w:pPr>
              <w:jc w:val="center"/>
              <w:rPr>
                <w:rFonts w:ascii="Times New Roman" w:hAnsi="Times New Roman" w:cs="Times New Roman" w:eastAsiaTheme="minorEastAsia"/>
                <w:color w:val="00000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6B6B">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171</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521AB">
            <w:pPr>
              <w:jc w:val="center"/>
              <w:rPr>
                <w:rFonts w:ascii="Times New Roman" w:hAnsi="Times New Roman" w:cs="Times New Roman" w:eastAsiaTheme="minorEastAsia"/>
                <w:color w:val="000000"/>
                <w:sz w:val="24"/>
                <w:szCs w:val="24"/>
              </w:rPr>
            </w:pPr>
          </w:p>
        </w:tc>
      </w:tr>
      <w:tr w14:paraId="65F554F0">
        <w:tblPrEx>
          <w:tblCellMar>
            <w:top w:w="0" w:type="dxa"/>
            <w:left w:w="108" w:type="dxa"/>
            <w:bottom w:w="0" w:type="dxa"/>
            <w:right w:w="108" w:type="dxa"/>
          </w:tblCellMar>
        </w:tblPrEx>
        <w:trPr>
          <w:trHeight w:val="31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0DB77">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租赁和商务服务业</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3AA79">
            <w:pPr>
              <w:jc w:val="center"/>
              <w:rPr>
                <w:rFonts w:ascii="Times New Roman" w:hAnsi="Times New Roman" w:cs="Times New Roman" w:eastAsiaTheme="minorEastAsia"/>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4CF1">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224</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CD48D">
            <w:pPr>
              <w:jc w:val="center"/>
              <w:rPr>
                <w:rFonts w:ascii="Times New Roman" w:hAnsi="Times New Roman" w:cs="Times New Roman" w:eastAsiaTheme="minorEastAsia"/>
                <w:color w:val="00000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2B39">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1570</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1FEBE">
            <w:pPr>
              <w:jc w:val="center"/>
              <w:rPr>
                <w:rFonts w:ascii="Times New Roman" w:hAnsi="Times New Roman" w:cs="Times New Roman" w:eastAsiaTheme="minorEastAsia"/>
                <w:color w:val="000000"/>
                <w:sz w:val="24"/>
                <w:szCs w:val="24"/>
              </w:rPr>
            </w:pPr>
          </w:p>
        </w:tc>
      </w:tr>
      <w:tr w14:paraId="2E663BBA">
        <w:tblPrEx>
          <w:tblCellMar>
            <w:top w:w="0" w:type="dxa"/>
            <w:left w:w="108" w:type="dxa"/>
            <w:bottom w:w="0" w:type="dxa"/>
            <w:right w:w="108" w:type="dxa"/>
          </w:tblCellMar>
        </w:tblPrEx>
        <w:trPr>
          <w:trHeight w:val="31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7B680">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科学研究和技术服务业</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4FB27">
            <w:pPr>
              <w:jc w:val="center"/>
              <w:rPr>
                <w:rFonts w:ascii="Times New Roman" w:hAnsi="Times New Roman" w:cs="Times New Roman" w:eastAsiaTheme="minorEastAsia"/>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DE4A">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23</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B2F89">
            <w:pPr>
              <w:jc w:val="center"/>
              <w:rPr>
                <w:rFonts w:ascii="Times New Roman" w:hAnsi="Times New Roman" w:cs="Times New Roman" w:eastAsiaTheme="minorEastAsia"/>
                <w:color w:val="00000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D706">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163</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9528F">
            <w:pPr>
              <w:jc w:val="center"/>
              <w:rPr>
                <w:rFonts w:ascii="Times New Roman" w:hAnsi="Times New Roman" w:cs="Times New Roman" w:eastAsiaTheme="minorEastAsia"/>
                <w:color w:val="000000"/>
                <w:sz w:val="24"/>
                <w:szCs w:val="24"/>
              </w:rPr>
            </w:pPr>
          </w:p>
        </w:tc>
      </w:tr>
      <w:tr w14:paraId="06AF2B55">
        <w:tblPrEx>
          <w:tblCellMar>
            <w:top w:w="0" w:type="dxa"/>
            <w:left w:w="108" w:type="dxa"/>
            <w:bottom w:w="0" w:type="dxa"/>
            <w:right w:w="108" w:type="dxa"/>
          </w:tblCellMar>
        </w:tblPrEx>
        <w:trPr>
          <w:trHeight w:val="31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EEB0A">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水利、环境和公共设施管理业</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6C170">
            <w:pPr>
              <w:jc w:val="center"/>
              <w:rPr>
                <w:rFonts w:ascii="Times New Roman" w:hAnsi="Times New Roman" w:cs="Times New Roman" w:eastAsiaTheme="minorEastAsia"/>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1EA6">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10</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A27CB">
            <w:pPr>
              <w:jc w:val="center"/>
              <w:rPr>
                <w:rFonts w:ascii="Times New Roman" w:hAnsi="Times New Roman" w:cs="Times New Roman" w:eastAsiaTheme="minorEastAsia"/>
                <w:color w:val="00000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CCAB">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67</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FD863">
            <w:pPr>
              <w:jc w:val="center"/>
              <w:rPr>
                <w:rFonts w:ascii="Times New Roman" w:hAnsi="Times New Roman" w:cs="Times New Roman" w:eastAsiaTheme="minorEastAsia"/>
                <w:color w:val="000000"/>
                <w:sz w:val="24"/>
                <w:szCs w:val="24"/>
              </w:rPr>
            </w:pPr>
          </w:p>
        </w:tc>
      </w:tr>
      <w:tr w14:paraId="6FAAC581">
        <w:tblPrEx>
          <w:tblCellMar>
            <w:top w:w="0" w:type="dxa"/>
            <w:left w:w="108" w:type="dxa"/>
            <w:bottom w:w="0" w:type="dxa"/>
            <w:right w:w="108" w:type="dxa"/>
          </w:tblCellMar>
        </w:tblPrEx>
        <w:trPr>
          <w:trHeight w:val="31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C6BB8">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居民服务、修理和其他服务业</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C1271">
            <w:pPr>
              <w:jc w:val="center"/>
              <w:rPr>
                <w:rFonts w:ascii="Times New Roman" w:hAnsi="Times New Roman" w:cs="Times New Roman" w:eastAsiaTheme="minorEastAsia"/>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5A5E">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608</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BB636">
            <w:pPr>
              <w:jc w:val="center"/>
              <w:rPr>
                <w:rFonts w:ascii="Times New Roman" w:hAnsi="Times New Roman" w:cs="Times New Roman" w:eastAsiaTheme="minorEastAsia"/>
                <w:color w:val="00000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B68A">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4261</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FCFE6">
            <w:pPr>
              <w:jc w:val="center"/>
              <w:rPr>
                <w:rFonts w:ascii="Times New Roman" w:hAnsi="Times New Roman" w:cs="Times New Roman" w:eastAsiaTheme="minorEastAsia"/>
                <w:color w:val="000000"/>
                <w:sz w:val="24"/>
                <w:szCs w:val="24"/>
              </w:rPr>
            </w:pPr>
          </w:p>
        </w:tc>
      </w:tr>
      <w:tr w14:paraId="1D2F4126">
        <w:tblPrEx>
          <w:tblCellMar>
            <w:top w:w="0" w:type="dxa"/>
            <w:left w:w="108" w:type="dxa"/>
            <w:bottom w:w="0" w:type="dxa"/>
            <w:right w:w="108" w:type="dxa"/>
          </w:tblCellMar>
        </w:tblPrEx>
        <w:trPr>
          <w:trHeight w:val="31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061EF">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教育</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4E9D">
            <w:pPr>
              <w:jc w:val="center"/>
              <w:rPr>
                <w:rFonts w:ascii="Times New Roman" w:hAnsi="Times New Roman" w:cs="Times New Roman" w:eastAsiaTheme="minorEastAsia"/>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88A4">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-8</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0EABF">
            <w:pPr>
              <w:jc w:val="center"/>
              <w:rPr>
                <w:rFonts w:ascii="Times New Roman" w:hAnsi="Times New Roman" w:cs="Times New Roman" w:eastAsiaTheme="minorEastAsia"/>
                <w:color w:val="00000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B695">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80</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0D181">
            <w:pPr>
              <w:jc w:val="center"/>
              <w:rPr>
                <w:rFonts w:ascii="Times New Roman" w:hAnsi="Times New Roman" w:cs="Times New Roman" w:eastAsiaTheme="minorEastAsia"/>
                <w:color w:val="000000"/>
                <w:sz w:val="24"/>
                <w:szCs w:val="24"/>
              </w:rPr>
            </w:pPr>
          </w:p>
        </w:tc>
      </w:tr>
      <w:tr w14:paraId="4823DFDD">
        <w:tblPrEx>
          <w:tblCellMar>
            <w:top w:w="0" w:type="dxa"/>
            <w:left w:w="108" w:type="dxa"/>
            <w:bottom w:w="0" w:type="dxa"/>
            <w:right w:w="108" w:type="dxa"/>
          </w:tblCellMar>
        </w:tblPrEx>
        <w:trPr>
          <w:trHeight w:val="31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202A8">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卫生和社会工作</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A17A7">
            <w:pPr>
              <w:jc w:val="center"/>
              <w:rPr>
                <w:rFonts w:ascii="Times New Roman" w:hAnsi="Times New Roman" w:cs="Times New Roman" w:eastAsiaTheme="minorEastAsia"/>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4FED">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30</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8CA71">
            <w:pPr>
              <w:jc w:val="center"/>
              <w:rPr>
                <w:rFonts w:ascii="Times New Roman" w:hAnsi="Times New Roman" w:cs="Times New Roman" w:eastAsiaTheme="minorEastAsia"/>
                <w:color w:val="00000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D0B2">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212</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8D511">
            <w:pPr>
              <w:jc w:val="center"/>
              <w:rPr>
                <w:rFonts w:ascii="Times New Roman" w:hAnsi="Times New Roman" w:cs="Times New Roman" w:eastAsiaTheme="minorEastAsia"/>
                <w:color w:val="000000"/>
                <w:sz w:val="24"/>
                <w:szCs w:val="24"/>
              </w:rPr>
            </w:pPr>
          </w:p>
        </w:tc>
      </w:tr>
      <w:tr w14:paraId="0F8098C6">
        <w:tblPrEx>
          <w:tblCellMar>
            <w:top w:w="0" w:type="dxa"/>
            <w:left w:w="108" w:type="dxa"/>
            <w:bottom w:w="0" w:type="dxa"/>
            <w:right w:w="108" w:type="dxa"/>
          </w:tblCellMar>
        </w:tblPrEx>
        <w:trPr>
          <w:trHeight w:val="31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079C3">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文化、体育和娱乐业</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9D31D">
            <w:pPr>
              <w:jc w:val="center"/>
              <w:rPr>
                <w:rFonts w:ascii="Times New Roman" w:hAnsi="Times New Roman" w:cs="Times New Roman" w:eastAsiaTheme="minorEastAsia"/>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42DA">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79</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DFF63">
            <w:pPr>
              <w:jc w:val="center"/>
              <w:rPr>
                <w:rFonts w:ascii="Times New Roman" w:hAnsi="Times New Roman" w:cs="Times New Roman" w:eastAsiaTheme="minorEastAsia"/>
                <w:color w:val="00000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3FE6">
            <w:pPr>
              <w:jc w:val="center"/>
              <w:textAlignment w:val="center"/>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kern w:val="0"/>
                <w:sz w:val="24"/>
                <w:szCs w:val="24"/>
              </w:rPr>
              <w:t>553</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EDADB">
            <w:pPr>
              <w:jc w:val="center"/>
              <w:rPr>
                <w:rFonts w:ascii="Times New Roman" w:hAnsi="Times New Roman" w:cs="Times New Roman" w:eastAsiaTheme="minorEastAsia"/>
                <w:color w:val="000000"/>
                <w:sz w:val="24"/>
                <w:szCs w:val="24"/>
              </w:rPr>
            </w:pPr>
          </w:p>
        </w:tc>
      </w:tr>
    </w:tbl>
    <w:p w14:paraId="47BD3391">
      <w:pPr>
        <w:pStyle w:val="5"/>
        <w:keepNext w:val="0"/>
        <w:keepLines w:val="0"/>
        <w:spacing w:before="0" w:after="0" w:line="240" w:lineRule="auto"/>
        <w:ind w:firstLine="624" w:firstLineChars="200"/>
        <w:rPr>
          <w:rStyle w:val="24"/>
          <w:rFonts w:ascii="Times New Roman" w:hAnsi="Times New Roman" w:eastAsia="方正黑体_GBK" w:cs="Times New Roman"/>
          <w:b w:val="0"/>
          <w:bCs/>
          <w:spacing w:val="-4"/>
        </w:rPr>
      </w:pPr>
      <w:bookmarkStart w:id="198" w:name="_Toc1466_WPSOffice_Level2"/>
      <w:bookmarkStart w:id="199" w:name="_Toc19100"/>
      <w:bookmarkStart w:id="200" w:name="_Toc4970"/>
      <w:bookmarkStart w:id="201" w:name="_Toc1299"/>
      <w:r>
        <w:rPr>
          <w:rStyle w:val="24"/>
          <w:rFonts w:ascii="Times New Roman" w:hAnsi="Times New Roman" w:eastAsia="方正黑体_GBK" w:cs="Times New Roman"/>
          <w:b w:val="0"/>
          <w:bCs/>
          <w:spacing w:val="-4"/>
        </w:rPr>
        <w:t>二、强化综合监管</w:t>
      </w:r>
      <w:bookmarkEnd w:id="198"/>
      <w:bookmarkEnd w:id="199"/>
      <w:bookmarkEnd w:id="200"/>
      <w:bookmarkEnd w:id="201"/>
    </w:p>
    <w:p w14:paraId="6C52AB34">
      <w:pPr>
        <w:pStyle w:val="5"/>
        <w:keepNext w:val="0"/>
        <w:keepLines w:val="0"/>
        <w:spacing w:before="0" w:after="0" w:line="240" w:lineRule="auto"/>
        <w:ind w:firstLine="624" w:firstLineChars="200"/>
        <w:rPr>
          <w:rStyle w:val="24"/>
          <w:rFonts w:ascii="Times New Roman" w:hAnsi="Times New Roman" w:eastAsia="方正楷体_GBK" w:cs="Times New Roman"/>
          <w:b w:val="0"/>
          <w:bCs/>
          <w:spacing w:val="-4"/>
        </w:rPr>
      </w:pPr>
      <w:bookmarkStart w:id="202" w:name="_Toc4336"/>
      <w:bookmarkStart w:id="203" w:name="_Toc8940"/>
      <w:bookmarkStart w:id="204" w:name="_Toc13598_WPSOffice_Level3"/>
      <w:bookmarkStart w:id="205" w:name="_Toc23416"/>
      <w:r>
        <w:rPr>
          <w:rStyle w:val="24"/>
          <w:rFonts w:ascii="Times New Roman" w:hAnsi="Times New Roman" w:eastAsia="方正楷体_GBK" w:cs="Times New Roman"/>
          <w:b w:val="0"/>
          <w:bCs/>
          <w:spacing w:val="-4"/>
        </w:rPr>
        <w:t>（一）加强重点领域市场监管</w:t>
      </w:r>
      <w:bookmarkEnd w:id="202"/>
      <w:bookmarkEnd w:id="203"/>
      <w:bookmarkEnd w:id="204"/>
      <w:bookmarkEnd w:id="205"/>
    </w:p>
    <w:p w14:paraId="56BC1DBE">
      <w:pPr>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1.加强网络市场监管。把握网络市场发展规律，健全网络市场监管措施，有针对性地解决网络市场发展中出现的突出问题，促进网络市场持续健康发展。坚持依法依规监管，推进依法管网，压实网络交易平台法定责任，规范网络商品和服务经营者行为，防范网络交易风险，提高网络市场监管的制度化、规范化、法治化水平。强化技术支撑，充分运用网络交易平台监管服务系统，推进“以网管网”，强化网络交易市场治理能力。依托互联网、大数据技术降低监管成本，提高监管效能，提高网络市场监管的智慧化、精准化水平。创新网络市场监管机制，推进跨地域、跨部门和市场监管各业务条线之间的监管协同，加强信息共享，发挥各种监管资源的综合效益。加强对网络售假、虚假宣传、虚假促销、刷单炒信、恶意诋毁等违法行为的治理，净化网络市场环境。加强社会公众、中介机构、新闻媒体等对网络市场秩序的监督，发挥消费者对网络经营活动的直接监督作用，努力构建“企业自治、行业自律、社会监督、政府监管”的社会共治新机制。</w:t>
      </w:r>
    </w:p>
    <w:p w14:paraId="02265335">
      <w:pPr>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2.严厉打击传销行为。健全完善打击传销工作机制、执法协作机制、信息技术监控机制、群防群控机制，把打击传销作为强化社会治安综合治理的重要内容和关键措施。积极推动建立完善“党政主导、政法牵头、部门协同、公众参与、综合治理”的打传工作新格局，加强对聚集式传销的治理。加强对网络传销的查处，遏制网络传销蔓延势头。加强对新形势新业态下新型传销的研判，加强风险预警提示和防范，强化案例宣传教育，提高公众识别和防范传销的能力。</w:t>
      </w:r>
    </w:p>
    <w:p w14:paraId="23CBF837">
      <w:pPr>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3.加强格式合同监管。适应新形势下合同监管的要求，厘清职责，依法监管，全面实施线上线下一体化监管，对线上线下重点领域利用合同格式条款侵害消费者权益的违法行为进行专项整治，加大社会参与度、影响面。对已经开展过专项整治的重点行业和领域的合同格式条款，适时采取回头看的方式，检查督促整改到位。深入开展合同帮农工作，加强格式合同行政指导及合同示范文本推广，指导帮助依法规范订立合同、履行合同，防范化解生产经营风险，维护农民权益，促进社会诚信建设。</w:t>
      </w:r>
    </w:p>
    <w:p w14:paraId="58C7F513">
      <w:pPr>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4.加强违法广告监管。认真贯彻落实习近平总书记“广告宣传也要讲导向”的重要指示精神，坚持正确的政治方向、舆论导向和价值取向，不断强化广告导向监管。探索建立健全广告监测体系、制度、标准，全面加强广告监测结果运用和提升广告监管效能。加大执法办案力度，将食品、药品、化妆品、医药器械、金融理财、汽车房地产、旅游服务、教育培训等关系人民群众健康安全和财产安全的广告作为重点领域，将互联网、广播电视、报刊、大型电子显示屏等作为重点媒介，将高速公路、</w:t>
      </w:r>
      <w:r>
        <w:rPr>
          <w:rFonts w:hint="eastAsia" w:ascii="Times New Roman" w:hAnsi="Times New Roman" w:eastAsia="方正仿宋_GBK" w:cs="Times New Roman"/>
          <w:szCs w:val="32"/>
        </w:rPr>
        <w:t>城乡接合部</w:t>
      </w:r>
      <w:r>
        <w:rPr>
          <w:rFonts w:ascii="Times New Roman" w:hAnsi="Times New Roman" w:eastAsia="方正仿宋_GBK" w:cs="Times New Roman"/>
          <w:szCs w:val="32"/>
        </w:rPr>
        <w:t>等作为重点地区，大力开展虚假违法广告专项整治，持续保持高压态势，广告违法发生率控制在1%以内。按照“四个最严”要求，做好“三品一械”广告监管工作。创新监管方式，按照源头防控、常态监测、分级负责、标本兼治、综合治理、突出重点、常态长效的总体要求，坚持依法监管、从严监管、智慧监管、信用监管、协同监管，构建政府领导、部门监管、企业自治、行业自律、社会监督的治理体系，形成齐抓共管、综合施策、协同共治新格局，有效遏制违法行为，有力维护市场秩序。</w:t>
      </w:r>
    </w:p>
    <w:p w14:paraId="42755516">
      <w:pPr>
        <w:pStyle w:val="5"/>
        <w:keepNext w:val="0"/>
        <w:keepLines w:val="0"/>
        <w:spacing w:before="0" w:after="0" w:line="240" w:lineRule="auto"/>
        <w:ind w:firstLine="640" w:firstLineChars="200"/>
        <w:rPr>
          <w:rFonts w:ascii="Times New Roman" w:hAnsi="Times New Roman" w:eastAsia="方正楷体_GBK" w:cs="Times New Roman"/>
          <w:b w:val="0"/>
          <w:bCs w:val="0"/>
        </w:rPr>
      </w:pPr>
      <w:bookmarkStart w:id="206" w:name="_Toc12957"/>
      <w:bookmarkStart w:id="207" w:name="_Toc18673"/>
      <w:bookmarkStart w:id="208" w:name="_Toc1466_WPSOffice_Level3"/>
      <w:bookmarkStart w:id="209" w:name="_Toc16166"/>
      <w:r>
        <w:rPr>
          <w:rFonts w:ascii="Times New Roman" w:hAnsi="Times New Roman" w:eastAsia="方正楷体_GBK" w:cs="Times New Roman"/>
          <w:b w:val="0"/>
          <w:bCs w:val="0"/>
        </w:rPr>
        <w:t>（二）促进市场公平竞争</w:t>
      </w:r>
      <w:bookmarkEnd w:id="206"/>
      <w:bookmarkEnd w:id="207"/>
      <w:bookmarkEnd w:id="208"/>
      <w:bookmarkEnd w:id="209"/>
    </w:p>
    <w:p w14:paraId="0E4DBF11">
      <w:pPr>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1.健全公平竞争审查机制。探索建立公平竞争市场环境指标体系。把规范和约束政府行为作为实施竞争政策的重要任务，完善并实施公平竞争审查制度，指导政策制定机关开展公平竞争审查和相关政策措施清理工作，保障公平竞争审查制度有序实施。推动产业政策从差异化、选择性向普惠化、功能性转型，建立产业政策与竞争政策的协调机制。开展公平竞争审查制度效应分析，对政策制定机关开展的公平竞争审查成效进行跟踪评估，推进公平竞争审查第三方评估工作，及时总结经验并发现问题，推动制度不断完善。</w:t>
      </w:r>
    </w:p>
    <w:p w14:paraId="2A1A88DC">
      <w:pPr>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2.加强反垄断和反不正当竞争执法。贯彻执行《反垄断法》及</w:t>
      </w:r>
      <w:r>
        <w:rPr>
          <w:rFonts w:hint="eastAsia" w:ascii="Times New Roman" w:hAnsi="Times New Roman" w:eastAsia="方正仿宋_GBK" w:cs="Times New Roman"/>
          <w:szCs w:val="32"/>
        </w:rPr>
        <w:t>《中华人民共和国反不正当竞争法》</w:t>
      </w:r>
      <w:r>
        <w:rPr>
          <w:rFonts w:ascii="Times New Roman" w:hAnsi="Times New Roman" w:eastAsia="方正仿宋_GBK" w:cs="Times New Roman"/>
          <w:szCs w:val="32"/>
        </w:rPr>
        <w:t>，严厉查处滥用市场支配地位等垄断行为及侵犯商业秘密等不正当竞争行为。针对经济发展中的突出问题，重点加强对供水、供电、供气等行业的监管，严厉打击滥收费用、强迫交易、搭售商品、附加不合理交易条件等限制竞争和垄断行为，依法制止滥用行政权力排除、限制竞争行为。针对经济发展的新趋势，加强网络市场、分享经济以及高技术领域市场监管，制止排除和限制竞争、阻碍创新行为。促进医疗、养老、教育、文化等民生领域公平竞争、健康发展，加强对与人民群众生活密切相关的商品和服务垄断行为的监管。围绕优化营商环境，强化反不正当竞争执法，集中优势力量，保持并不断强化联合整治工作的压倒性态势，重点解决市场混淆、虚假宣传、侵犯商业秘密等突出问题，查办公布一批典型案件，形成有力震慑和强大声势，切实维护公平竞争市场秩序，维护经营者、消费者合法权益。</w:t>
      </w:r>
    </w:p>
    <w:p w14:paraId="65372309">
      <w:pPr>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3.加强价格监管执法。全面落实降费减负政策，持续开展涉企收费监督检查，有序开展行政事业单位、行业协会、垄断行业等违规收费专项治理，加强对水电气、教育、医疗、电商、物业、停车等民生重点领域价格行为进行监管，严查价格违法行为，维护人民群众合法权益。加强市场价格监测预警和物价稳定工作，突出抓好节假日市场价格监管，及时处理价格投诉举报，规范市场价格行为。</w:t>
      </w:r>
    </w:p>
    <w:p w14:paraId="384ADE9B">
      <w:pPr>
        <w:ind w:firstLine="640" w:firstLineChars="200"/>
        <w:rPr>
          <w:rFonts w:ascii="Times New Roman" w:hAnsi="Times New Roman" w:eastAsia="方正黑体_GBK" w:cs="Times New Roman"/>
        </w:rPr>
      </w:pPr>
      <w:bookmarkStart w:id="210" w:name="_Toc26234_WPSOffice_Level2"/>
      <w:r>
        <w:rPr>
          <w:rFonts w:ascii="Times New Roman" w:hAnsi="Times New Roman" w:eastAsia="方正黑体_GBK" w:cs="Times New Roman"/>
        </w:rPr>
        <w:t>三、规范行政执法</w:t>
      </w:r>
      <w:bookmarkEnd w:id="210"/>
    </w:p>
    <w:p w14:paraId="27184CE6">
      <w:pPr>
        <w:pStyle w:val="5"/>
        <w:keepNext w:val="0"/>
        <w:keepLines w:val="0"/>
        <w:spacing w:before="0" w:after="0" w:line="240" w:lineRule="auto"/>
        <w:ind w:firstLine="640" w:firstLineChars="200"/>
        <w:rPr>
          <w:rFonts w:ascii="Times New Roman" w:hAnsi="Times New Roman" w:eastAsia="方正楷体_GBK" w:cs="Times New Roman"/>
          <w:b w:val="0"/>
          <w:bCs w:val="0"/>
        </w:rPr>
      </w:pPr>
      <w:bookmarkStart w:id="211" w:name="_Toc4556"/>
      <w:bookmarkStart w:id="212" w:name="_Toc13844"/>
      <w:bookmarkStart w:id="213" w:name="_Toc26234_WPSOffice_Level3"/>
      <w:bookmarkStart w:id="214" w:name="_Toc2376"/>
      <w:r>
        <w:rPr>
          <w:rFonts w:ascii="Times New Roman" w:hAnsi="Times New Roman" w:eastAsia="方正楷体_GBK" w:cs="Times New Roman"/>
          <w:b w:val="0"/>
          <w:bCs w:val="0"/>
        </w:rPr>
        <w:t>（一）加强市场监管法治化、规范化</w:t>
      </w:r>
      <w:bookmarkEnd w:id="211"/>
      <w:bookmarkEnd w:id="212"/>
      <w:bookmarkEnd w:id="213"/>
      <w:bookmarkEnd w:id="214"/>
    </w:p>
    <w:p w14:paraId="00AD8444">
      <w:pPr>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1.推进市场监管法治建设。实施“八五”普法规划，加强公职律师培养，全面落实“谁执法谁普法”普法责任制，加大规范性文件合法性审查力度，规范行使自由裁量权，严格依照法定权限和程序行使权力、履行职责，树立公正公平的执法权威。健全执法监督机制，加强行政处罚案件法制审核，严格落实行政执法责任制，强化行政复议决定的执行，纠正违法或不当行政行为。建立健全行政执法评议考核制度，加大社会评议权重，建立第三方评价机制，强化考评结果运用，提高考评的科学性、效能性和公正性，促进行政机关市场监管水平提高。完善法治政府建设，依法全面履行市场监管职能，完善行政组织和行政程序制度、权力清单制度，推进事权规范化、</w:t>
      </w:r>
      <w:r>
        <w:rPr>
          <w:rFonts w:hint="eastAsia" w:ascii="Times New Roman" w:hAnsi="Times New Roman" w:eastAsia="方正仿宋_GBK" w:cs="Times New Roman"/>
          <w:szCs w:val="32"/>
          <w:lang w:eastAsia="zh-CN"/>
        </w:rPr>
        <w:t>法治化</w:t>
      </w:r>
      <w:r>
        <w:rPr>
          <w:rFonts w:ascii="Times New Roman" w:hAnsi="Times New Roman" w:eastAsia="方正仿宋_GBK" w:cs="Times New Roman"/>
          <w:szCs w:val="32"/>
        </w:rPr>
        <w:t>。完善行政决策机制，严格执行行政决策法定程序，积极推进法律顾问制度，健全行政执法和刑事司法衔接机制。</w:t>
      </w:r>
    </w:p>
    <w:p w14:paraId="349BCB47">
      <w:pPr>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2.提高市场监管执法规范化水平。推进执法规范公正，规范执法程序，推行执法文书电子化、执法案卷标准化、记录方式科学化、监督管理便利化。全面推行行政执法公示制度、执法全过程记录制度、重大执法决定法制审核制度，公开执法职责、执法依据、执法标准、执法程序、监督途径、执法结果，坚持公开为常态、不公开为例外的原则，提高执法公开化、信息化、规范化水平。</w:t>
      </w:r>
    </w:p>
    <w:p w14:paraId="1A066039">
      <w:pPr>
        <w:ind w:firstLine="640" w:firstLineChars="200"/>
        <w:rPr>
          <w:rFonts w:ascii="Times New Roman" w:hAnsi="Times New Roman" w:eastAsia="方正楷体_GBK" w:cs="Times New Roman"/>
        </w:rPr>
      </w:pPr>
      <w:bookmarkStart w:id="215" w:name="_Toc5938_WPSOffice_Level3"/>
      <w:r>
        <w:rPr>
          <w:rFonts w:ascii="Times New Roman" w:hAnsi="Times New Roman" w:eastAsia="方正楷体_GBK" w:cs="Times New Roman"/>
        </w:rPr>
        <w:t>（二）优化市场监管体制机制</w:t>
      </w:r>
      <w:bookmarkEnd w:id="215"/>
    </w:p>
    <w:p w14:paraId="557FA1ED">
      <w:pPr>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1.理顺市场综合行政执法体制机制。加强外部工作协调联动，按照“谁审批谁监管、谁主管谁监管”的原则，厘清平行部门工作职责，加强与行业主管部门、社会组织、新闻媒体等各方协调联动，强化企业主体责任，积极推进社会共治，着力构建统一、权威、高效的市场监管体系。</w:t>
      </w:r>
    </w:p>
    <w:p w14:paraId="7C592789">
      <w:pPr>
        <w:ind w:firstLine="640" w:firstLineChars="200"/>
        <w:rPr>
          <w:rFonts w:ascii="Times New Roman" w:hAnsi="Times New Roman" w:eastAsia="方正仿宋_GBK" w:cs="Times New Roman"/>
          <w:szCs w:val="32"/>
        </w:rPr>
      </w:pPr>
      <w:bookmarkStart w:id="216" w:name="_Toc29414"/>
      <w:r>
        <w:rPr>
          <w:rFonts w:ascii="Times New Roman" w:hAnsi="Times New Roman" w:eastAsia="方正仿宋_GBK" w:cs="Times New Roman"/>
          <w:szCs w:val="32"/>
        </w:rPr>
        <w:t>2.健全“双随机、一公开”市场监管机制。健全以“双随机、一公开”监管为基本手段、以重点监管为补充、以信用监管为基础的新型监管机制，综合监管、智慧监管水平进一步提升。全面推行部门联合“双随机、一公开”监管，实现全县市场监管领域相关部门“双随机、一公开”监管全覆盖、常态化，将投诉热点、改革的痛点和市场监管的难点纳入“点穴式”精准抽查，将培训机构、预付式消费等高风险行业进行详细的事项清单绘制，提高民生保障，全面落实企业信息公示制度，积极引导市场主体有效运用国家企业信用信息公示系统，进一步提升公示系统使用效能。推进企业信用风险分类管理，积极探索构建企业信用风险评价体系，充分运用大数据手段实现监管资源合理配置和有效利用，提高风险预判能力和监管效能。健全信用约束和失信联合惩戒机制，抓好“黑名单”管理。进一步推动部门联合惩戒，对违法企业加大行政处罚和信用约束力度，发挥社会共治力量，让失信主体“一处违法、处处受限”。</w:t>
      </w:r>
    </w:p>
    <w:p w14:paraId="685242F0">
      <w:pPr>
        <w:pStyle w:val="5"/>
        <w:keepNext w:val="0"/>
        <w:keepLines w:val="0"/>
        <w:spacing w:before="0" w:after="0" w:line="240" w:lineRule="auto"/>
        <w:ind w:firstLine="640" w:firstLineChars="200"/>
        <w:rPr>
          <w:rFonts w:ascii="Times New Roman" w:hAnsi="Times New Roman" w:eastAsia="方正黑体_GBK" w:cs="Times New Roman"/>
          <w:b w:val="0"/>
          <w:bCs w:val="0"/>
        </w:rPr>
      </w:pPr>
      <w:bookmarkStart w:id="217" w:name="_Toc10149"/>
      <w:bookmarkStart w:id="218" w:name="_Toc5938_WPSOffice_Level2"/>
      <w:bookmarkStart w:id="219" w:name="_Toc28438"/>
      <w:r>
        <w:rPr>
          <w:rFonts w:ascii="Times New Roman" w:hAnsi="Times New Roman" w:eastAsia="方正黑体_GBK" w:cs="Times New Roman"/>
          <w:b w:val="0"/>
          <w:bCs w:val="0"/>
        </w:rPr>
        <w:t>四、提升服务水平</w:t>
      </w:r>
      <w:bookmarkEnd w:id="216"/>
      <w:bookmarkEnd w:id="217"/>
      <w:bookmarkEnd w:id="218"/>
      <w:bookmarkEnd w:id="219"/>
    </w:p>
    <w:p w14:paraId="47A45CB3">
      <w:pPr>
        <w:pStyle w:val="5"/>
        <w:keepNext w:val="0"/>
        <w:keepLines w:val="0"/>
        <w:spacing w:before="0" w:after="0" w:line="240" w:lineRule="auto"/>
        <w:ind w:firstLine="640" w:firstLineChars="200"/>
        <w:rPr>
          <w:rFonts w:ascii="Times New Roman" w:hAnsi="Times New Roman" w:eastAsia="方正楷体_GBK" w:cs="Times New Roman"/>
          <w:b w:val="0"/>
          <w:bCs w:val="0"/>
        </w:rPr>
      </w:pPr>
      <w:bookmarkStart w:id="220" w:name="_Toc25683"/>
      <w:bookmarkStart w:id="221" w:name="_Toc11417"/>
      <w:bookmarkStart w:id="222" w:name="_Toc27666_WPSOffice_Level3"/>
      <w:bookmarkStart w:id="223" w:name="_Toc19232"/>
      <w:r>
        <w:rPr>
          <w:rFonts w:ascii="Times New Roman" w:hAnsi="Times New Roman" w:eastAsia="方正楷体_GBK" w:cs="Times New Roman"/>
          <w:b w:val="0"/>
          <w:bCs w:val="0"/>
        </w:rPr>
        <w:t>（一）加强基层党建引领</w:t>
      </w:r>
      <w:bookmarkEnd w:id="220"/>
      <w:bookmarkEnd w:id="221"/>
      <w:bookmarkEnd w:id="222"/>
      <w:bookmarkEnd w:id="223"/>
    </w:p>
    <w:p w14:paraId="2B3E55A9">
      <w:pPr>
        <w:ind w:firstLine="640" w:firstLineChars="200"/>
        <w:rPr>
          <w:rFonts w:ascii="Times New Roman" w:hAnsi="Times New Roman" w:eastAsia="方正仿宋_GBK" w:cs="Times New Roman"/>
        </w:rPr>
      </w:pPr>
      <w:r>
        <w:rPr>
          <w:rFonts w:ascii="Times New Roman" w:hAnsi="Times New Roman" w:eastAsia="方正仿宋_GBK" w:cs="Times New Roman"/>
          <w:szCs w:val="32"/>
        </w:rPr>
        <w:t>全面贯彻新时代党的建设总要求和党的组织路线，以高水平党建引领高质量市场监管，不断增强基层党组织的创造力、凝聚力、战斗力。加强非公党建工作，巩固和扩大党在非公经济组织特别是小微企业、个体工商户、专业市场中的覆盖面，综合采取政策措施，支持个体私营经济和小微企业发展。</w:t>
      </w:r>
    </w:p>
    <w:p w14:paraId="70494DC7">
      <w:pPr>
        <w:pStyle w:val="5"/>
        <w:keepNext w:val="0"/>
        <w:keepLines w:val="0"/>
        <w:spacing w:before="0" w:after="0" w:line="240" w:lineRule="auto"/>
        <w:ind w:firstLine="640" w:firstLineChars="200"/>
        <w:rPr>
          <w:rFonts w:ascii="Times New Roman" w:hAnsi="Times New Roman" w:eastAsia="方正楷体_GBK" w:cs="Times New Roman"/>
          <w:b w:val="0"/>
          <w:bCs w:val="0"/>
        </w:rPr>
      </w:pPr>
      <w:bookmarkStart w:id="224" w:name="_Toc22660_WPSOffice_Level3"/>
      <w:bookmarkStart w:id="225" w:name="_Toc10597"/>
      <w:bookmarkStart w:id="226" w:name="_Toc31960"/>
      <w:bookmarkStart w:id="227" w:name="_Toc15647"/>
      <w:r>
        <w:rPr>
          <w:rFonts w:ascii="Times New Roman" w:hAnsi="Times New Roman" w:eastAsia="方正楷体_GBK" w:cs="Times New Roman"/>
          <w:b w:val="0"/>
          <w:bCs w:val="0"/>
        </w:rPr>
        <w:t>（二）提升消费维权水平</w:t>
      </w:r>
      <w:bookmarkEnd w:id="224"/>
      <w:bookmarkEnd w:id="225"/>
      <w:bookmarkEnd w:id="226"/>
      <w:bookmarkEnd w:id="227"/>
    </w:p>
    <w:p w14:paraId="3044EC85">
      <w:pPr>
        <w:ind w:firstLine="640" w:firstLineChars="200"/>
        <w:jc w:val="left"/>
        <w:rPr>
          <w:rFonts w:ascii="Times New Roman" w:hAnsi="Times New Roman" w:eastAsia="方正仿宋_GBK" w:cs="Times New Roman"/>
        </w:rPr>
      </w:pPr>
      <w:bookmarkStart w:id="228" w:name="_Toc10025"/>
      <w:r>
        <w:rPr>
          <w:rFonts w:ascii="Times New Roman" w:hAnsi="Times New Roman" w:eastAsia="方正仿宋_GBK" w:cs="Times New Roman"/>
          <w:kern w:val="0"/>
          <w:szCs w:val="32"/>
        </w:rPr>
        <w:t>建立健全统一、权威、高效的12315消费维权体系，实现“一号对外、集中管理、便民利企、高效执法”工作机制，</w:t>
      </w:r>
      <w:r>
        <w:rPr>
          <w:rFonts w:ascii="Times New Roman" w:hAnsi="Times New Roman" w:eastAsia="方正仿宋_GBK" w:cs="Times New Roman"/>
          <w:szCs w:val="32"/>
        </w:rPr>
        <w:t>在关系百姓生命财产安全的食品、药品等领域，对侵害消费者权益的市场主体依法实施惩罚性赔偿</w:t>
      </w:r>
      <w:r>
        <w:rPr>
          <w:rFonts w:ascii="Times New Roman" w:hAnsi="Times New Roman" w:eastAsia="方正仿宋_GBK" w:cs="Times New Roman"/>
          <w:kern w:val="0"/>
          <w:szCs w:val="32"/>
        </w:rPr>
        <w:t>；加强放心消费环境创建</w:t>
      </w:r>
      <w:r>
        <w:rPr>
          <w:rFonts w:ascii="Times New Roman" w:hAnsi="Times New Roman" w:eastAsia="方正仿宋_GBK" w:cs="Times New Roman"/>
          <w:szCs w:val="32"/>
        </w:rPr>
        <w:t>，鼓励线下实体店自主承诺无理由退货；</w:t>
      </w:r>
      <w:r>
        <w:rPr>
          <w:rFonts w:ascii="Times New Roman" w:hAnsi="Times New Roman" w:eastAsia="方正仿宋_GBK" w:cs="Times New Roman"/>
          <w:kern w:val="0"/>
          <w:szCs w:val="32"/>
        </w:rPr>
        <w:t>完善跨部门联席会议制度，</w:t>
      </w:r>
      <w:r>
        <w:rPr>
          <w:rFonts w:ascii="Times New Roman" w:hAnsi="Times New Roman" w:eastAsia="方正仿宋_GBK" w:cs="Times New Roman"/>
          <w:szCs w:val="32"/>
        </w:rPr>
        <w:t>构建政府主导、部门协作、企业自治、行业自律、社会监督、消费者参与、信用约束于一体的消费维权社会共治体系；</w:t>
      </w:r>
      <w:r>
        <w:rPr>
          <w:rFonts w:ascii="Times New Roman" w:hAnsi="Times New Roman" w:eastAsia="方正仿宋_GBK" w:cs="Times New Roman"/>
          <w:kern w:val="0"/>
          <w:szCs w:val="32"/>
        </w:rPr>
        <w:t>加强消费教育和消费提示警示，加强投诉举报数据的深度挖掘运用，开展动态的风险监测预警和常态的趋势研判，及时发布消费风险报告。</w:t>
      </w:r>
    </w:p>
    <w:p w14:paraId="69C79699">
      <w:pPr>
        <w:pStyle w:val="5"/>
        <w:keepNext w:val="0"/>
        <w:keepLines w:val="0"/>
        <w:spacing w:before="0" w:after="0" w:line="240" w:lineRule="auto"/>
        <w:ind w:firstLine="640" w:firstLineChars="200"/>
        <w:rPr>
          <w:rFonts w:ascii="Times New Roman" w:hAnsi="Times New Roman" w:eastAsia="方正楷体_GBK" w:cs="Times New Roman"/>
          <w:b w:val="0"/>
          <w:bCs w:val="0"/>
        </w:rPr>
      </w:pPr>
      <w:bookmarkStart w:id="229" w:name="_Toc5330"/>
      <w:bookmarkStart w:id="230" w:name="_Toc12653_WPSOffice_Level3"/>
      <w:bookmarkStart w:id="231" w:name="_Toc32657"/>
      <w:r>
        <w:rPr>
          <w:rFonts w:ascii="Times New Roman" w:hAnsi="Times New Roman" w:eastAsia="方正楷体_GBK" w:cs="Times New Roman"/>
          <w:b w:val="0"/>
          <w:bCs w:val="0"/>
        </w:rPr>
        <w:t>（三）提升政务服务水平</w:t>
      </w:r>
      <w:bookmarkEnd w:id="228"/>
      <w:bookmarkEnd w:id="229"/>
      <w:bookmarkEnd w:id="230"/>
      <w:bookmarkEnd w:id="231"/>
    </w:p>
    <w:p w14:paraId="3AE706C5">
      <w:pPr>
        <w:ind w:firstLine="643" w:firstLineChars="200"/>
        <w:jc w:val="left"/>
        <w:rPr>
          <w:rFonts w:ascii="Times New Roman" w:hAnsi="Times New Roman" w:eastAsia="方正仿宋_GBK" w:cs="Times New Roman"/>
          <w:kern w:val="0"/>
          <w:szCs w:val="32"/>
        </w:rPr>
      </w:pPr>
      <w:r>
        <w:rPr>
          <w:rFonts w:ascii="Times New Roman" w:hAnsi="Times New Roman" w:eastAsia="方正仿宋_GBK" w:cs="Times New Roman"/>
          <w:b/>
          <w:bCs/>
          <w:kern w:val="0"/>
          <w:szCs w:val="32"/>
        </w:rPr>
        <w:t>一是</w:t>
      </w:r>
      <w:r>
        <w:rPr>
          <w:rFonts w:ascii="Times New Roman" w:hAnsi="Times New Roman" w:eastAsia="方正仿宋_GBK" w:cs="Times New Roman"/>
          <w:kern w:val="0"/>
          <w:szCs w:val="32"/>
        </w:rPr>
        <w:t>优化政务服务供给，激发市场主体活力。优化政务服务流程，严格执行首问负责制，加强线上智能引导和线下人工咨询，规范政务服务事项受理要件，受审分离，畅通业务流转渠道，完善流程再造，推进标准化运作模式，提供最优质、最高效、最精准的政务服务。</w:t>
      </w:r>
      <w:r>
        <w:rPr>
          <w:rFonts w:ascii="Times New Roman" w:hAnsi="Times New Roman" w:eastAsia="方正仿宋_GBK" w:cs="Times New Roman"/>
          <w:b/>
          <w:bCs/>
          <w:kern w:val="0"/>
          <w:szCs w:val="32"/>
        </w:rPr>
        <w:t>二是</w:t>
      </w:r>
      <w:r>
        <w:rPr>
          <w:rFonts w:ascii="Times New Roman" w:hAnsi="Times New Roman" w:eastAsia="方正仿宋_GBK" w:cs="Times New Roman"/>
          <w:kern w:val="0"/>
          <w:szCs w:val="32"/>
        </w:rPr>
        <w:t>加强政府信息公开。深入贯彻依法治国基本方略，增强政府工作的透明度，促进依法行政，充分发挥市场监管工作信息对人民群众生产、生活和经济社会活动的服务作用，主动公开和依申请公开市场监管相关信息，回应人民群众新期待，努力提升人民获得感幸福感安全感。</w:t>
      </w:r>
    </w:p>
    <w:p w14:paraId="746312E6">
      <w:pPr>
        <w:ind w:firstLine="640" w:firstLineChars="200"/>
        <w:jc w:val="left"/>
        <w:rPr>
          <w:rFonts w:ascii="Times New Roman" w:hAnsi="Times New Roman" w:eastAsia="方正楷体_GBK" w:cs="Times New Roman"/>
        </w:rPr>
      </w:pPr>
      <w:bookmarkStart w:id="232" w:name="_Toc28075_WPSOffice_Level3"/>
      <w:r>
        <w:rPr>
          <w:rFonts w:ascii="Times New Roman" w:hAnsi="Times New Roman" w:eastAsia="方正楷体_GBK" w:cs="Times New Roman"/>
        </w:rPr>
        <w:t>（四）加大新闻宣传力度</w:t>
      </w:r>
      <w:bookmarkEnd w:id="232"/>
    </w:p>
    <w:p w14:paraId="545FBD6D">
      <w:pPr>
        <w:ind w:firstLine="640" w:firstLineChars="200"/>
        <w:jc w:val="left"/>
        <w:rPr>
          <w:rFonts w:ascii="Times New Roman" w:hAnsi="Times New Roman" w:eastAsia="方正仿宋_GBK" w:cs="Times New Roman"/>
          <w:kern w:val="0"/>
          <w:szCs w:val="32"/>
        </w:rPr>
      </w:pPr>
      <w:r>
        <w:rPr>
          <w:rFonts w:ascii="Times New Roman" w:hAnsi="Times New Roman" w:eastAsia="方正仿宋_GBK" w:cs="Times New Roman"/>
          <w:kern w:val="0"/>
          <w:szCs w:val="32"/>
        </w:rPr>
        <w:t>加大市场监管宣传力度，组织开展权威发布，增强公众的认知度。加强舆情引导力度，有效控制网络舆情，充分利用大数据技术，加强重大舆情监测和突发事件处置工作，打好舆论基础，在全县范围营造良好的舆论环境，逐步建立市县应急联动机制，维护社会稳定和人民生命财产安全。</w:t>
      </w:r>
    </w:p>
    <w:p w14:paraId="7BFE7244">
      <w:pPr>
        <w:pStyle w:val="5"/>
        <w:keepNext w:val="0"/>
        <w:keepLines w:val="0"/>
        <w:spacing w:before="0" w:after="0" w:line="240" w:lineRule="auto"/>
        <w:ind w:firstLine="640" w:firstLineChars="200"/>
        <w:rPr>
          <w:rFonts w:ascii="Times New Roman" w:hAnsi="Times New Roman" w:eastAsia="方正楷体_GBK" w:cs="Times New Roman"/>
          <w:b w:val="0"/>
          <w:bCs w:val="0"/>
        </w:rPr>
      </w:pPr>
      <w:bookmarkStart w:id="233" w:name="_Toc16113_WPSOffice_Level3"/>
      <w:bookmarkStart w:id="234" w:name="_Toc10940"/>
      <w:bookmarkStart w:id="235" w:name="_Toc15319"/>
      <w:bookmarkStart w:id="236" w:name="_Toc1177"/>
      <w:r>
        <w:rPr>
          <w:rFonts w:ascii="Times New Roman" w:hAnsi="Times New Roman" w:eastAsia="方正楷体_GBK" w:cs="Times New Roman"/>
          <w:b w:val="0"/>
          <w:bCs w:val="0"/>
        </w:rPr>
        <w:t>（五）加大队伍培训力度</w:t>
      </w:r>
      <w:bookmarkEnd w:id="233"/>
      <w:bookmarkEnd w:id="234"/>
      <w:bookmarkEnd w:id="235"/>
      <w:bookmarkEnd w:id="236"/>
    </w:p>
    <w:p w14:paraId="642C3A63">
      <w:pPr>
        <w:ind w:firstLine="640" w:firstLineChars="200"/>
        <w:jc w:val="left"/>
        <w:rPr>
          <w:rFonts w:ascii="Times New Roman" w:hAnsi="Times New Roman" w:cs="Times New Roman"/>
          <w:kern w:val="0"/>
          <w:szCs w:val="32"/>
        </w:rPr>
      </w:pPr>
      <w:r>
        <w:rPr>
          <w:rFonts w:ascii="Times New Roman" w:hAnsi="Times New Roman" w:eastAsia="方正仿宋_GBK" w:cs="Times New Roman"/>
          <w:kern w:val="0"/>
          <w:szCs w:val="32"/>
        </w:rPr>
        <w:t>深学笃行习近平新时代中国特色社会主义思想，</w:t>
      </w:r>
      <w:r>
        <w:rPr>
          <w:rFonts w:hint="eastAsia" w:ascii="Times New Roman" w:hAnsi="Times New Roman" w:eastAsia="方正仿宋_GBK" w:cs="Times New Roman"/>
          <w:kern w:val="0"/>
          <w:szCs w:val="32"/>
        </w:rPr>
        <w:t>增强“四个意识”、坚定“四个自信”、做到“两个维护”</w:t>
      </w:r>
      <w:r>
        <w:rPr>
          <w:rFonts w:ascii="Times New Roman" w:hAnsi="Times New Roman" w:eastAsia="方正仿宋_GBK" w:cs="Times New Roman"/>
          <w:kern w:val="0"/>
          <w:szCs w:val="32"/>
        </w:rPr>
        <w:t>，打造忠诚、干净、担当的市场监管队伍。按照专业性、技术性要求，坚持岗位练兵和以案代训，实行持证上岗和资格管理，建立健全风险预警交流体制机制，夯实风险预警交流，强化风险预警分析和风险交流能力，加快建立忠诚干净担当的职业化市场监管执法队伍。</w:t>
      </w:r>
    </w:p>
    <w:p w14:paraId="321A6F76">
      <w:pPr>
        <w:pStyle w:val="5"/>
        <w:keepNext w:val="0"/>
        <w:keepLines w:val="0"/>
        <w:spacing w:before="0" w:after="0" w:line="240" w:lineRule="auto"/>
        <w:ind w:firstLine="640" w:firstLineChars="200"/>
        <w:rPr>
          <w:rFonts w:ascii="Times New Roman" w:hAnsi="Times New Roman" w:eastAsia="方正楷体_GBK" w:cs="Times New Roman"/>
          <w:b w:val="0"/>
          <w:bCs w:val="0"/>
        </w:rPr>
      </w:pPr>
      <w:bookmarkStart w:id="237" w:name="_Toc26697_WPSOffice_Level3"/>
      <w:bookmarkStart w:id="238" w:name="_Toc22672"/>
      <w:bookmarkStart w:id="239" w:name="_Toc1701"/>
      <w:bookmarkStart w:id="240" w:name="_Toc3280"/>
      <w:r>
        <w:rPr>
          <w:rFonts w:ascii="Times New Roman" w:hAnsi="Times New Roman" w:eastAsia="方正楷体_GBK" w:cs="Times New Roman"/>
          <w:b w:val="0"/>
          <w:bCs w:val="0"/>
        </w:rPr>
        <w:t>（六）提升应急管理能力</w:t>
      </w:r>
      <w:bookmarkEnd w:id="237"/>
      <w:bookmarkEnd w:id="238"/>
      <w:bookmarkEnd w:id="239"/>
      <w:bookmarkEnd w:id="240"/>
    </w:p>
    <w:p w14:paraId="32987D29">
      <w:pPr>
        <w:ind w:firstLine="640" w:firstLineChars="200"/>
        <w:jc w:val="left"/>
        <w:rPr>
          <w:rFonts w:ascii="Times New Roman" w:hAnsi="Times New Roman" w:cs="Times New Roman"/>
          <w:kern w:val="0"/>
          <w:szCs w:val="32"/>
        </w:rPr>
      </w:pPr>
      <w:r>
        <w:rPr>
          <w:rFonts w:ascii="Times New Roman" w:hAnsi="Times New Roman" w:eastAsia="方正仿宋_GBK" w:cs="Times New Roman"/>
          <w:kern w:val="0"/>
          <w:szCs w:val="32"/>
        </w:rPr>
        <w:t>建立健全应急管理机制，有效预防和积极应对市场监管突发事件，坚持预防为主，依法处置。健全完善应急组织体系、应急响应机制，做好应急处置，强化应急保障。</w:t>
      </w:r>
    </w:p>
    <w:p w14:paraId="562B5A56">
      <w:pPr>
        <w:pStyle w:val="4"/>
        <w:keepNext w:val="0"/>
        <w:keepLines w:val="0"/>
        <w:spacing w:before="0" w:after="0" w:line="240" w:lineRule="auto"/>
        <w:ind w:left="0"/>
        <w:rPr>
          <w:rStyle w:val="24"/>
          <w:rFonts w:eastAsia="方正小标宋_GBK"/>
          <w:b w:val="0"/>
          <w:bCs w:val="0"/>
          <w:sz w:val="44"/>
          <w:szCs w:val="44"/>
          <w:shd w:val="clear" w:color="auto" w:fill="auto"/>
        </w:rPr>
      </w:pPr>
      <w:bookmarkStart w:id="241" w:name="_Toc521"/>
    </w:p>
    <w:p w14:paraId="4699EE17">
      <w:pPr>
        <w:pStyle w:val="4"/>
        <w:keepNext w:val="0"/>
        <w:keepLines w:val="0"/>
        <w:spacing w:before="0" w:after="0" w:line="240" w:lineRule="auto"/>
        <w:ind w:left="0"/>
        <w:rPr>
          <w:rStyle w:val="24"/>
          <w:rFonts w:eastAsia="方正小标宋_GBK"/>
          <w:b w:val="0"/>
          <w:bCs w:val="0"/>
          <w:sz w:val="44"/>
          <w:szCs w:val="44"/>
          <w:shd w:val="clear" w:color="auto" w:fill="auto"/>
        </w:rPr>
      </w:pPr>
    </w:p>
    <w:p w14:paraId="3F00F137">
      <w:pPr>
        <w:rPr>
          <w:rStyle w:val="24"/>
          <w:rFonts w:ascii="Times New Roman" w:hAnsi="Times New Roman" w:eastAsia="方正小标宋_GBK" w:cs="Times New Roman"/>
          <w:b w:val="0"/>
          <w:bCs w:val="0"/>
          <w:sz w:val="44"/>
          <w:szCs w:val="44"/>
        </w:rPr>
      </w:pPr>
    </w:p>
    <w:p w14:paraId="3551E06D">
      <w:pPr>
        <w:pStyle w:val="7"/>
        <w:keepNext w:val="0"/>
        <w:keepLines w:val="0"/>
        <w:rPr>
          <w:rStyle w:val="24"/>
          <w:rFonts w:ascii="Times New Roman" w:hAnsi="Times New Roman" w:eastAsia="方正小标宋_GBK" w:cs="Times New Roman"/>
          <w:b w:val="0"/>
          <w:bCs w:val="0"/>
          <w:sz w:val="44"/>
          <w:szCs w:val="44"/>
        </w:rPr>
      </w:pPr>
    </w:p>
    <w:p w14:paraId="421DE8A2">
      <w:pPr>
        <w:rPr>
          <w:rFonts w:ascii="Times New Roman" w:hAnsi="Times New Roman" w:cs="Times New Roman"/>
        </w:rPr>
      </w:pPr>
    </w:p>
    <w:bookmarkEnd w:id="241"/>
    <w:p w14:paraId="3959051E">
      <w:pPr>
        <w:ind w:firstLine="640" w:firstLineChars="200"/>
        <w:rPr>
          <w:rFonts w:ascii="Times New Roman" w:hAnsi="Times New Roman" w:eastAsia="方正仿宋_GBK" w:cs="Times New Roman"/>
          <w:szCs w:val="32"/>
        </w:rPr>
      </w:pPr>
    </w:p>
    <w:p w14:paraId="18CA10CD">
      <w:pPr>
        <w:rPr>
          <w:rFonts w:ascii="Times New Roman" w:hAnsi="Times New Roman" w:eastAsia="方正仿宋_GBK" w:cs="Times New Roman"/>
          <w:szCs w:val="32"/>
        </w:rPr>
      </w:pPr>
    </w:p>
    <w:p w14:paraId="74E01EDB">
      <w:pPr>
        <w:ind w:firstLine="640" w:firstLineChars="200"/>
        <w:rPr>
          <w:rFonts w:ascii="Times New Roman" w:hAnsi="Times New Roman" w:eastAsia="方正仿宋_GBK" w:cs="Times New Roman"/>
          <w:szCs w:val="32"/>
        </w:rPr>
      </w:pPr>
    </w:p>
    <w:p w14:paraId="79D2ED55">
      <w:pPr>
        <w:rPr>
          <w:rFonts w:ascii="Times New Roman" w:hAnsi="Times New Roman"/>
        </w:rPr>
      </w:pPr>
    </w:p>
    <w:p w14:paraId="65975FF5">
      <w:pPr>
        <w:ind w:firstLine="640" w:firstLineChars="200"/>
        <w:rPr>
          <w:rFonts w:ascii="Times New Roman" w:hAnsi="Times New Roman" w:eastAsia="方正仿宋_GBK" w:cs="Times New Roman"/>
          <w:szCs w:val="32"/>
        </w:rPr>
      </w:pPr>
    </w:p>
    <w:p w14:paraId="29042B08">
      <w:pPr>
        <w:pStyle w:val="8"/>
        <w:rPr>
          <w:rFonts w:eastAsia="方正仿宋_GBK"/>
          <w:szCs w:val="32"/>
        </w:rPr>
      </w:pPr>
    </w:p>
    <w:p w14:paraId="533F8F68">
      <w:pPr>
        <w:rPr>
          <w:rFonts w:ascii="Times New Roman" w:hAnsi="Times New Roman" w:eastAsia="方正仿宋_GBK" w:cs="Times New Roman"/>
          <w:szCs w:val="32"/>
        </w:rPr>
      </w:pPr>
    </w:p>
    <w:p w14:paraId="2DDFF89F">
      <w:pPr>
        <w:pStyle w:val="8"/>
        <w:rPr>
          <w:rFonts w:eastAsia="方正仿宋_GBK"/>
          <w:szCs w:val="32"/>
        </w:rPr>
      </w:pPr>
    </w:p>
    <w:p w14:paraId="19E3B23C">
      <w:pPr>
        <w:rPr>
          <w:rFonts w:ascii="Times New Roman" w:hAnsi="Times New Roman"/>
        </w:rPr>
      </w:pPr>
    </w:p>
    <w:p w14:paraId="12CD5D1E">
      <w:pPr>
        <w:pStyle w:val="4"/>
        <w:keepNext w:val="0"/>
        <w:keepLines w:val="0"/>
        <w:spacing w:before="0" w:after="0" w:line="570" w:lineRule="exact"/>
        <w:ind w:left="0"/>
        <w:rPr>
          <w:rFonts w:eastAsia="方正黑体_GBK"/>
          <w:bCs w:val="0"/>
        </w:rPr>
      </w:pPr>
      <w:bookmarkStart w:id="242" w:name="_Toc13402"/>
      <w:bookmarkStart w:id="243" w:name="_Toc6901"/>
      <w:bookmarkStart w:id="244" w:name="_Toc8924_WPSOffice_Level1"/>
      <w:r>
        <w:rPr>
          <w:rStyle w:val="24"/>
          <w:rFonts w:eastAsia="方正小标宋_GBK"/>
          <w:b w:val="0"/>
          <w:bCs w:val="0"/>
          <w:sz w:val="44"/>
          <w:szCs w:val="44"/>
          <w:shd w:val="clear" w:color="auto" w:fill="auto"/>
        </w:rPr>
        <w:t>第五部分：实施质量强县</w:t>
      </w:r>
      <w:bookmarkEnd w:id="242"/>
      <w:bookmarkEnd w:id="243"/>
      <w:bookmarkEnd w:id="244"/>
      <w:bookmarkStart w:id="245" w:name="_Toc27232"/>
    </w:p>
    <w:p w14:paraId="5D6B41C6">
      <w:pPr>
        <w:pStyle w:val="5"/>
        <w:keepNext w:val="0"/>
        <w:keepLines w:val="0"/>
        <w:spacing w:before="0" w:after="0" w:line="570" w:lineRule="exact"/>
        <w:ind w:firstLine="640" w:firstLineChars="200"/>
        <w:rPr>
          <w:rFonts w:ascii="Times New Roman" w:hAnsi="Times New Roman" w:eastAsia="方正黑体_GBK" w:cs="Times New Roman"/>
          <w:b w:val="0"/>
          <w:bCs w:val="0"/>
        </w:rPr>
      </w:pPr>
    </w:p>
    <w:p w14:paraId="3262AEC3">
      <w:pPr>
        <w:pStyle w:val="5"/>
        <w:keepNext w:val="0"/>
        <w:keepLines w:val="0"/>
        <w:spacing w:before="0" w:after="0" w:line="570" w:lineRule="exact"/>
        <w:ind w:firstLine="640" w:firstLineChars="200"/>
        <w:rPr>
          <w:rFonts w:ascii="Times New Roman" w:hAnsi="Times New Roman" w:eastAsia="方正黑体_GBK" w:cs="Times New Roman"/>
          <w:b w:val="0"/>
          <w:bCs w:val="0"/>
        </w:rPr>
      </w:pPr>
      <w:bookmarkStart w:id="246" w:name="_Toc24662"/>
      <w:bookmarkStart w:id="247" w:name="_Toc27666_WPSOffice_Level2"/>
      <w:bookmarkStart w:id="248" w:name="_Toc6621"/>
      <w:r>
        <w:rPr>
          <w:rFonts w:ascii="Times New Roman" w:hAnsi="Times New Roman" w:eastAsia="方正黑体_GBK" w:cs="Times New Roman"/>
          <w:b w:val="0"/>
          <w:bCs w:val="0"/>
        </w:rPr>
        <w:t>一、</w:t>
      </w:r>
      <w:bookmarkEnd w:id="245"/>
      <w:r>
        <w:rPr>
          <w:rFonts w:ascii="Times New Roman" w:hAnsi="Times New Roman" w:eastAsia="方正黑体_GBK" w:cs="Times New Roman"/>
          <w:b w:val="0"/>
          <w:bCs w:val="0"/>
        </w:rPr>
        <w:t>全面提升质量水平</w:t>
      </w:r>
      <w:bookmarkEnd w:id="246"/>
      <w:bookmarkEnd w:id="247"/>
      <w:bookmarkEnd w:id="248"/>
    </w:p>
    <w:p w14:paraId="7E67C80E">
      <w:pPr>
        <w:spacing w:line="570" w:lineRule="exact"/>
        <w:ind w:firstLine="640" w:firstLineChars="200"/>
        <w:rPr>
          <w:rFonts w:ascii="Times New Roman" w:hAnsi="Times New Roman" w:cs="Times New Roman"/>
        </w:rPr>
      </w:pPr>
      <w:r>
        <w:rPr>
          <w:rFonts w:ascii="Times New Roman" w:hAnsi="Times New Roman" w:eastAsia="方正仿宋_GBK" w:cs="Times New Roman"/>
          <w:szCs w:val="32"/>
        </w:rPr>
        <w:t>紧紧围绕质量强县战略，以深入开展质量提升行动为抓手，以中小微企业为目标，大力推广科学质量管理方法，鼓励优势企业推行卓越绩效管理模式，争创重庆市市长质量奖。大力开展全面质量管理教育培训，扶持中小微企业建立健全质量管理体系，提升企业管理水平。以川渝质量合作为契机，围绕产品、工程、服务、环境四大质量，强化质量对品牌的引领作用，积极宣传推广区域质量品牌，营造良好的市场环境。积极推动质量基础设施</w:t>
      </w:r>
      <w:r>
        <w:rPr>
          <w:rFonts w:ascii="Times New Roman" w:hAnsi="Times New Roman" w:eastAsia="方正仿宋_GBK" w:cs="Times New Roman"/>
          <w:szCs w:val="32"/>
          <w:lang w:val="zh-CN" w:bidi="zh-CN"/>
        </w:rPr>
        <w:t>“一</w:t>
      </w:r>
      <w:r>
        <w:rPr>
          <w:rFonts w:ascii="Times New Roman" w:hAnsi="Times New Roman" w:eastAsia="方正仿宋_GBK" w:cs="Times New Roman"/>
          <w:szCs w:val="32"/>
        </w:rPr>
        <w:t>站式”服务平台建设，大胆探索质量督察机制改革取得明显成效的区县和国家级开发开放平台。借助网站、线上服务平台、第三方网络运营平台等线上资源和渠道，搭建“互联网＋”质量基础设施服务平台，借助平台对检验检测、知识产权、计量标准、特种设备、认证认可等进行</w:t>
      </w:r>
      <w:r>
        <w:rPr>
          <w:rFonts w:ascii="Times New Roman" w:hAnsi="Times New Roman" w:eastAsia="方正仿宋_GBK" w:cs="Times New Roman"/>
          <w:szCs w:val="32"/>
          <w:lang w:val="zh-CN" w:bidi="zh-CN"/>
        </w:rPr>
        <w:t>“一</w:t>
      </w:r>
      <w:r>
        <w:rPr>
          <w:rFonts w:ascii="Times New Roman" w:hAnsi="Times New Roman" w:eastAsia="方正仿宋_GBK" w:cs="Times New Roman"/>
          <w:szCs w:val="32"/>
        </w:rPr>
        <w:t>站式”服务，有效解决中小微企业质量需求与技术机构服务信息不对称问题，打造线上服务共享平台。到2025年，质量政策体系进一步完善，质量基础设施服务体系和网络初具规模，质量基础设施布局更加合理，基本建成“一站式”服务平台1-2个，基本建立质量基础设施建设标准和效能评价指标体系，计量、标准、认证认可、检验检测、质量管理等要素良性协同，“一平台一重点一特色”的质量基础设施“一站式”服务模式更加成熟，服务效能明显增强，质量基础设施影响力明显提升。充分发挥县质量部门联席会议制度作用，大力提升和发展品牌质量，严格制定质量标准和技术规范，把产前、产中、产后各环节纳入标准化生产，严格把控“从园地到餐桌”质量安全。加强对电线电缆、成品油、化肥、家用燃气灶具等重点产品的抽查力度。到2025年，产品质量合格率达90%。</w:t>
      </w:r>
    </w:p>
    <w:p w14:paraId="45739805">
      <w:pPr>
        <w:pStyle w:val="5"/>
        <w:keepNext w:val="0"/>
        <w:keepLines w:val="0"/>
        <w:spacing w:before="0" w:after="0" w:line="570" w:lineRule="exact"/>
        <w:ind w:firstLine="640" w:firstLineChars="200"/>
        <w:rPr>
          <w:rFonts w:ascii="Times New Roman" w:hAnsi="Times New Roman" w:eastAsia="方正黑体_GBK" w:cs="Times New Roman"/>
          <w:b w:val="0"/>
          <w:bCs w:val="0"/>
        </w:rPr>
      </w:pPr>
      <w:bookmarkStart w:id="249" w:name="_Toc6155"/>
      <w:bookmarkStart w:id="250" w:name="_Toc22660_WPSOffice_Level2"/>
      <w:bookmarkStart w:id="251" w:name="_Toc17570"/>
      <w:bookmarkStart w:id="252" w:name="_Toc21559"/>
      <w:r>
        <w:rPr>
          <w:rFonts w:ascii="Times New Roman" w:hAnsi="Times New Roman" w:eastAsia="方正黑体_GBK" w:cs="Times New Roman"/>
          <w:b w:val="0"/>
          <w:bCs w:val="0"/>
        </w:rPr>
        <w:t>二、</w:t>
      </w:r>
      <w:bookmarkEnd w:id="249"/>
      <w:r>
        <w:rPr>
          <w:rFonts w:ascii="Times New Roman" w:hAnsi="Times New Roman" w:eastAsia="方正黑体_GBK" w:cs="Times New Roman"/>
          <w:b w:val="0"/>
          <w:bCs w:val="0"/>
        </w:rPr>
        <w:t>强化标准推动发展</w:t>
      </w:r>
      <w:bookmarkEnd w:id="250"/>
      <w:bookmarkEnd w:id="251"/>
      <w:bookmarkEnd w:id="252"/>
    </w:p>
    <w:p w14:paraId="707CB3B8">
      <w:pPr>
        <w:pStyle w:val="6"/>
        <w:numPr>
          <w:ilvl w:val="0"/>
          <w:numId w:val="0"/>
        </w:numPr>
        <w:adjustRightInd w:val="0"/>
        <w:snapToGrid w:val="0"/>
        <w:spacing w:line="570" w:lineRule="exact"/>
        <w:ind w:left="480" w:leftChars="150"/>
        <w:rPr>
          <w:rFonts w:eastAsia="方正楷体_GBK"/>
        </w:rPr>
      </w:pPr>
      <w:bookmarkStart w:id="253" w:name="_Toc31955"/>
      <w:bookmarkStart w:id="254" w:name="_Toc18229_WPSOffice_Level3"/>
      <w:bookmarkStart w:id="255" w:name="_Toc12151"/>
      <w:bookmarkStart w:id="256" w:name="_Toc59087542"/>
      <w:bookmarkStart w:id="257" w:name="_Toc24297"/>
      <w:r>
        <w:rPr>
          <w:rFonts w:eastAsia="方正楷体_GBK"/>
        </w:rPr>
        <w:t>（一）着力构建新型标准体系</w:t>
      </w:r>
      <w:bookmarkEnd w:id="253"/>
      <w:bookmarkEnd w:id="254"/>
      <w:bookmarkEnd w:id="255"/>
      <w:bookmarkEnd w:id="256"/>
    </w:p>
    <w:p w14:paraId="2D7D190C">
      <w:pPr>
        <w:adjustRightInd w:val="0"/>
        <w:snapToGrid w:val="0"/>
        <w:spacing w:line="57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在国家标准体系框架下，围绕全县经济社会发展大局，加快地方、团体、企业标准的制定，不断建成先进适用、技术一流的标准体系。加快制定地方标准，把牢地方标准“话语权”。</w:t>
      </w:r>
      <w:r>
        <w:rPr>
          <w:rFonts w:ascii="Times New Roman" w:hAnsi="Times New Roman" w:eastAsia="方正仿宋_GBK" w:cs="Times New Roman"/>
          <w:spacing w:val="-6"/>
          <w:szCs w:val="32"/>
        </w:rPr>
        <w:t>立足本地资源，综合考虑区位优势、产业基础和市场条件等，加快制定体现丰都特色的获得地理标志的丰都肉牛、丰都栗子大米、丰都红心柚等地方标准。</w:t>
      </w:r>
      <w:r>
        <w:rPr>
          <w:rFonts w:ascii="Times New Roman" w:hAnsi="Times New Roman" w:eastAsia="方正仿宋_GBK" w:cs="Times New Roman"/>
          <w:szCs w:val="32"/>
        </w:rPr>
        <w:t>努力培育团体标准，提升团体标准化工作水平。在农业农村、工业、服务业等重点领域新培训发展团体标准，在全国团体标准信息平台公开发布。不断搞活企业标准，促进创新技术产业化。发挥企业主体作用，鼓励企业制定标准、采用先进标准和开展标准化试点示范创建以及“对标达标”活动，新培育发展企业标准，不断推动新技术向标准转化。</w:t>
      </w:r>
    </w:p>
    <w:p w14:paraId="6844AB6B">
      <w:pPr>
        <w:pStyle w:val="6"/>
        <w:numPr>
          <w:ilvl w:val="0"/>
          <w:numId w:val="0"/>
        </w:numPr>
        <w:adjustRightInd w:val="0"/>
        <w:snapToGrid w:val="0"/>
        <w:spacing w:line="570" w:lineRule="exact"/>
        <w:ind w:left="480" w:leftChars="150"/>
        <w:rPr>
          <w:rFonts w:eastAsia="方正楷体_GBK"/>
        </w:rPr>
      </w:pPr>
      <w:bookmarkStart w:id="258" w:name="_Toc59087543"/>
      <w:bookmarkStart w:id="259" w:name="_Toc2929"/>
      <w:bookmarkStart w:id="260" w:name="_Toc12348"/>
      <w:bookmarkStart w:id="261" w:name="_Toc16969_WPSOffice_Level3"/>
      <w:r>
        <w:rPr>
          <w:rFonts w:eastAsia="方正楷体_GBK"/>
        </w:rPr>
        <w:t>（二）</w:t>
      </w:r>
      <w:bookmarkEnd w:id="258"/>
      <w:r>
        <w:rPr>
          <w:rFonts w:eastAsia="方正楷体_GBK"/>
        </w:rPr>
        <w:t>努力打造</w:t>
      </w:r>
      <w:r>
        <w:rPr>
          <w:rFonts w:eastAsia="方正楷体_GBK"/>
          <w:szCs w:val="32"/>
        </w:rPr>
        <w:t>农业标准化</w:t>
      </w:r>
      <w:bookmarkEnd w:id="259"/>
      <w:bookmarkEnd w:id="260"/>
      <w:bookmarkEnd w:id="261"/>
    </w:p>
    <w:p w14:paraId="27C98D62">
      <w:pPr>
        <w:adjustRightInd w:val="0"/>
        <w:snapToGrid w:val="0"/>
        <w:spacing w:line="570" w:lineRule="exact"/>
        <w:ind w:firstLine="640" w:firstLineChars="200"/>
        <w:rPr>
          <w:rFonts w:ascii="Times New Roman" w:hAnsi="Times New Roman" w:eastAsia="方正仿宋_GBK" w:cs="Times New Roman"/>
          <w:szCs w:val="32"/>
        </w:rPr>
      </w:pPr>
      <w:bookmarkStart w:id="262" w:name="_Toc59087544"/>
      <w:r>
        <w:rPr>
          <w:rFonts w:ascii="Times New Roman" w:hAnsi="Times New Roman" w:eastAsia="方正仿宋_GBK" w:cs="Times New Roman"/>
          <w:szCs w:val="32"/>
        </w:rPr>
        <w:t>加快构建高标准农田建设标准体系。推进现代特色效益农业发展，强化种植业、畜牧业、水产业以及农业机械化等领域国家标准、行业标准、地方标准实施情况的监督检查，大力提升农业生产现代化、规模化、标准化水平。围绕</w:t>
      </w:r>
      <w:r>
        <w:rPr>
          <w:rFonts w:ascii="Times New Roman" w:hAnsi="Times New Roman" w:eastAsia="方正仿宋_GBK" w:cs="Times New Roman"/>
          <w:szCs w:val="32"/>
          <w:lang w:bidi="he-IL"/>
        </w:rPr>
        <w:t>打造国家农业现代化示范区，</w:t>
      </w:r>
      <w:r>
        <w:rPr>
          <w:rFonts w:ascii="Times New Roman" w:hAnsi="Times New Roman" w:eastAsia="方正仿宋_GBK" w:cs="Times New Roman"/>
          <w:szCs w:val="32"/>
          <w:shd w:val="clear" w:color="auto" w:fill="FFFFFF"/>
        </w:rPr>
        <w:t>推动以牛、鸡、猪为重点的畜禽产业完善链条、增量提质，</w:t>
      </w:r>
      <w:r>
        <w:rPr>
          <w:rFonts w:ascii="Times New Roman" w:hAnsi="Times New Roman" w:eastAsia="方正仿宋_GBK" w:cs="Times New Roman"/>
          <w:szCs w:val="32"/>
          <w:lang w:bidi="he-IL"/>
        </w:rPr>
        <w:t>建设中国肉牛之都、西部鸡产业高地、国家生猪调出大县，高标准建设榨菜、红心柚等特色产业园</w:t>
      </w:r>
      <w:r>
        <w:rPr>
          <w:rFonts w:ascii="Times New Roman" w:hAnsi="Times New Roman" w:eastAsia="方正仿宋_GBK" w:cs="Times New Roman"/>
          <w:szCs w:val="32"/>
        </w:rPr>
        <w:t>，加强农业标准制定（修订），努力构建全要素、全链条、多层次的现代农业全产业链标准体系。</w:t>
      </w:r>
    </w:p>
    <w:p w14:paraId="34BF46FF">
      <w:pPr>
        <w:adjustRightInd w:val="0"/>
        <w:snapToGrid w:val="0"/>
        <w:spacing w:line="570" w:lineRule="exact"/>
        <w:rPr>
          <w:rFonts w:ascii="Times New Roman" w:hAnsi="Times New Roman" w:eastAsia="方正仿宋_GBK" w:cs="Times New Roman"/>
          <w:szCs w:val="32"/>
        </w:rPr>
      </w:pPr>
      <w:r>
        <w:rPr>
          <w:rFonts w:ascii="Times New Roman" w:hAnsi="Times New Roman" w:eastAsia="方正仿宋_GBK" w:cs="Times New Roman"/>
          <w:szCs w:val="32"/>
        </w:rPr>
        <w:t>建立健全农业投入品质量、适度规模养殖、循环型生态农业、农产品食品安全、监测预警等绿色农业发展标准。</w:t>
      </w:r>
      <w:r>
        <w:rPr>
          <w:rFonts w:ascii="Times New Roman" w:hAnsi="Times New Roman" w:eastAsia="方正仿宋_GBK" w:cs="Times New Roman"/>
          <w:spacing w:val="-6"/>
          <w:szCs w:val="32"/>
        </w:rPr>
        <w:t>因地制宜推进“一村一品”主导特色产业领域相关产品标准和技术标准培育行动。立足本地资源，综合考虑区位优势、产业基础和市场条件等，培育发展龙眼、柑橘、中药材、马铃薯、烤烟、茶叶、笋竹、木本油料等现代山地特色高效农业，推进规模化、标准化、品牌化建设。</w:t>
      </w:r>
      <w:r>
        <w:rPr>
          <w:rFonts w:ascii="Times New Roman" w:hAnsi="Times New Roman" w:eastAsia="方正仿宋_GBK" w:cs="Times New Roman"/>
          <w:szCs w:val="32"/>
        </w:rPr>
        <w:t>新培育发展团体标准5项。大力发展稻田养鱼和畜禽规模化养殖、水产养殖、花椒种植等标准化稻渔综合种养示范区、花椒GAP示范基地。推进水果、中药材、烟草等特色高效经济作物相关标准的执行。</w:t>
      </w:r>
    </w:p>
    <w:p w14:paraId="1356A957">
      <w:pPr>
        <w:pStyle w:val="6"/>
        <w:numPr>
          <w:ilvl w:val="0"/>
          <w:numId w:val="0"/>
        </w:numPr>
        <w:adjustRightInd w:val="0"/>
        <w:snapToGrid w:val="0"/>
        <w:spacing w:line="570" w:lineRule="exact"/>
        <w:ind w:left="480" w:leftChars="150"/>
        <w:rPr>
          <w:rFonts w:eastAsia="方正楷体_GBK"/>
        </w:rPr>
      </w:pPr>
      <w:bookmarkStart w:id="263" w:name="_Toc20339_WPSOffice_Level3"/>
      <w:bookmarkStart w:id="264" w:name="_Toc4306"/>
      <w:bookmarkStart w:id="265" w:name="_Toc22522"/>
      <w:r>
        <w:rPr>
          <w:rFonts w:eastAsia="方正楷体_GBK"/>
        </w:rPr>
        <w:t>（三）持续推进工业标准化</w:t>
      </w:r>
      <w:bookmarkEnd w:id="262"/>
      <w:bookmarkEnd w:id="263"/>
      <w:bookmarkEnd w:id="264"/>
      <w:bookmarkEnd w:id="265"/>
    </w:p>
    <w:p w14:paraId="7A7D26BC">
      <w:pPr>
        <w:adjustRightInd w:val="0"/>
        <w:snapToGrid w:val="0"/>
        <w:spacing w:line="57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bCs/>
          <w:szCs w:val="32"/>
        </w:rPr>
        <w:t>结合丰都优势特色优势，推进科技创新为核心，推动标准化与工业新兴优势产业链、创新链的深度整合，不断完善工业标准体系，加快提升工业标准化水平。重点围绕</w:t>
      </w:r>
      <w:r>
        <w:rPr>
          <w:rFonts w:ascii="Times New Roman" w:hAnsi="Times New Roman" w:eastAsia="方正仿宋_GBK" w:cs="Times New Roman"/>
          <w:szCs w:val="32"/>
        </w:rPr>
        <w:t>打造</w:t>
      </w:r>
      <w:r>
        <w:rPr>
          <w:rFonts w:ascii="Times New Roman" w:hAnsi="Times New Roman" w:eastAsia="方正仿宋_GBK" w:cs="Times New Roman"/>
          <w:szCs w:val="32"/>
          <w:shd w:val="clear" w:color="auto" w:fill="FFFFFF"/>
        </w:rPr>
        <w:t>清洁能源产业集群、</w:t>
      </w:r>
      <w:r>
        <w:rPr>
          <w:rFonts w:ascii="Times New Roman" w:hAnsi="Times New Roman" w:eastAsia="方正仿宋_GBK" w:cs="Times New Roman"/>
          <w:szCs w:val="32"/>
        </w:rPr>
        <w:t>食品加工产业集群、</w:t>
      </w:r>
      <w:r>
        <w:rPr>
          <w:rStyle w:val="42"/>
          <w:rFonts w:ascii="Times New Roman" w:hAnsi="Times New Roman" w:eastAsia="方正仿宋_GBK" w:cs="Times New Roman"/>
          <w:szCs w:val="32"/>
        </w:rPr>
        <w:t>绿色建材产业集群、</w:t>
      </w:r>
      <w:r>
        <w:rPr>
          <w:rFonts w:ascii="Times New Roman" w:hAnsi="Times New Roman" w:eastAsia="方正仿宋_GBK" w:cs="Times New Roman"/>
          <w:bCs/>
          <w:szCs w:val="32"/>
        </w:rPr>
        <w:t>医疗用品产业集群、装备制造产业集群等产业转型升级，加快企业数字化、网络化、智能化改造，不断推进企业标准研制和标准体系升级。</w:t>
      </w:r>
      <w:r>
        <w:rPr>
          <w:rFonts w:ascii="Times New Roman" w:hAnsi="Times New Roman" w:eastAsia="方正仿宋_GBK" w:cs="Times New Roman"/>
          <w:szCs w:val="32"/>
        </w:rPr>
        <w:t>壮大以东方希望为龙头的绿色建材产业集群，推动绿岛源绿色矿山示范项目满产达能，培育以恒都公司为代表的食品加工产业集群。</w:t>
      </w:r>
      <w:r>
        <w:rPr>
          <w:rFonts w:ascii="Times New Roman" w:hAnsi="Times New Roman" w:eastAsia="方正仿宋_GBK" w:cs="Times New Roman"/>
          <w:bCs/>
          <w:szCs w:val="32"/>
        </w:rPr>
        <w:t>深入开展标准助力质量提升行动，</w:t>
      </w:r>
      <w:r>
        <w:rPr>
          <w:rFonts w:ascii="Times New Roman" w:hAnsi="Times New Roman" w:eastAsia="方正仿宋_GBK" w:cs="Times New Roman"/>
          <w:szCs w:val="32"/>
        </w:rPr>
        <w:t>探索制定绿色建材企业产品标准、技术标准和标准化生产技术规程，研制地方特色食品相关标准和食品安全可追溯领域技术标准，建立完善食品加工标准体系，新培训发展企业标准20项。</w:t>
      </w:r>
      <w:r>
        <w:rPr>
          <w:rFonts w:ascii="Times New Roman" w:hAnsi="Times New Roman" w:eastAsia="方正仿宋_GBK" w:cs="Times New Roman"/>
          <w:bCs/>
          <w:szCs w:val="32"/>
        </w:rPr>
        <w:t>围绕</w:t>
      </w:r>
      <w:r>
        <w:rPr>
          <w:rFonts w:ascii="Times New Roman" w:hAnsi="Times New Roman" w:eastAsia="方正仿宋_GBK" w:cs="Times New Roman"/>
          <w:szCs w:val="32"/>
        </w:rPr>
        <w:t>麻辣鸡产业园项目一期工程，依托麻辣鸡产业孵化园等基础优势，培育“丰都麻辣鸡”区域公用品牌，加强麻辣鸡产业标准化。充分依托行业协会，制定丰都麻辣鸡生产加工技术规范、现制现售经营卫生规范和质量要求等3项团体标准。“十四五”期间，新增麻辣鸡生产企业35 家，麻辣鸡生产小作坊50家，入驻丰都县麻辣鸡产业园25家，发展麻辣鸡商标300件，全面规范麻辣鸡市场，促进麻辣鸡市场快速健康发展。</w:t>
      </w:r>
    </w:p>
    <w:p w14:paraId="31B4A915">
      <w:pPr>
        <w:pStyle w:val="6"/>
        <w:numPr>
          <w:ilvl w:val="0"/>
          <w:numId w:val="0"/>
        </w:numPr>
        <w:adjustRightInd w:val="0"/>
        <w:snapToGrid w:val="0"/>
        <w:spacing w:line="570" w:lineRule="exact"/>
        <w:ind w:firstLine="640" w:firstLineChars="200"/>
        <w:rPr>
          <w:rFonts w:eastAsia="方正楷体_GBK"/>
        </w:rPr>
      </w:pPr>
      <w:bookmarkStart w:id="266" w:name="_Toc59087545"/>
      <w:bookmarkStart w:id="267" w:name="_Toc6899_WPSOffice_Level3"/>
      <w:bookmarkStart w:id="268" w:name="_Toc14098"/>
      <w:bookmarkStart w:id="269" w:name="_Toc28516"/>
      <w:r>
        <w:rPr>
          <w:rFonts w:eastAsia="方正楷体_GBK"/>
        </w:rPr>
        <w:t>（四）不断强化服务业标准化</w:t>
      </w:r>
      <w:bookmarkEnd w:id="266"/>
      <w:bookmarkEnd w:id="267"/>
      <w:bookmarkEnd w:id="268"/>
      <w:bookmarkEnd w:id="269"/>
    </w:p>
    <w:p w14:paraId="1F716C0E">
      <w:pPr>
        <w:overflowPunct w:val="0"/>
        <w:adjustRightInd w:val="0"/>
        <w:snapToGrid w:val="0"/>
        <w:spacing w:line="57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以提升服务业供给质量和产业竞争力为核心，加快推进服务业标准化、规范化建设，助力服务业高质量发展。重点围绕旅游服务、信息技术、科技、现代物流、医疗养老、人力资源、电子商务、检测认证、家政、社区服务等领域，加快研制一批团体标准和企业标准，进一步完善与现代服务业发展相适应的标准体系，鼓励服务业行业协会和企业参与标准制定工作，逐步扩大服务业标准化范围，推动服务业标准化整体水平提升。</w:t>
      </w:r>
      <w:r>
        <w:rPr>
          <w:rFonts w:ascii="Times New Roman" w:hAnsi="Times New Roman" w:eastAsia="方正仿宋_GBK" w:cs="Times New Roman"/>
          <w:szCs w:val="32"/>
          <w:shd w:val="clear" w:color="auto" w:fill="FFFFFF"/>
        </w:rPr>
        <w:t>发挥山水丰茂、物产丰盛、人文丰厚“三丰”优势，叫响“丰收之都”城市品牌。</w:t>
      </w:r>
      <w:r>
        <w:rPr>
          <w:rFonts w:ascii="Times New Roman" w:hAnsi="Times New Roman" w:eastAsia="方正仿宋_GBK" w:cs="Times New Roman"/>
          <w:szCs w:val="32"/>
        </w:rPr>
        <w:t>打造国际知名文化旅游目的地</w:t>
      </w:r>
      <w:r>
        <w:rPr>
          <w:rFonts w:ascii="Times New Roman" w:hAnsi="Times New Roman" w:eastAsia="方正仿宋_GBK" w:cs="Times New Roman"/>
          <w:bCs/>
          <w:szCs w:val="32"/>
        </w:rPr>
        <w:t>，</w:t>
      </w:r>
      <w:r>
        <w:rPr>
          <w:rFonts w:ascii="Times New Roman" w:hAnsi="Times New Roman" w:eastAsia="方正仿宋_GBK" w:cs="Times New Roman"/>
          <w:szCs w:val="32"/>
        </w:rPr>
        <w:t>大兴旅游“二次创业”，推动景区旅游向空间旅游、休闲度假游转变，不断提升丰都旅游现代化、国际化水平。在</w:t>
      </w:r>
      <w:r>
        <w:rPr>
          <w:rFonts w:ascii="Times New Roman" w:hAnsi="Times New Roman" w:eastAsia="方正仿宋_GBK" w:cs="Times New Roman"/>
          <w:bCs/>
          <w:kern w:val="0"/>
          <w:szCs w:val="32"/>
        </w:rPr>
        <w:t>仙女湖镇乡村旅游服务标准化试点</w:t>
      </w:r>
      <w:r>
        <w:rPr>
          <w:rFonts w:ascii="Times New Roman" w:hAnsi="Times New Roman" w:eastAsia="方正仿宋_GBK" w:cs="Times New Roman"/>
          <w:szCs w:val="32"/>
        </w:rPr>
        <w:t>项目基础上，进一步挖掘物业管理、旅游服务、节会活动等方面的优势及经验，完善</w:t>
      </w:r>
      <w:r>
        <w:rPr>
          <w:rFonts w:ascii="Times New Roman" w:hAnsi="Times New Roman" w:eastAsia="方正仿宋_GBK" w:cs="Times New Roman"/>
          <w:szCs w:val="32"/>
          <w:lang w:val="zh-CN"/>
        </w:rPr>
        <w:t>“吃住行游购娱”一体化旅游服务体系，</w:t>
      </w:r>
      <w:r>
        <w:rPr>
          <w:rFonts w:ascii="Times New Roman" w:hAnsi="Times New Roman" w:eastAsia="方正仿宋_GBK" w:cs="Times New Roman"/>
          <w:szCs w:val="32"/>
        </w:rPr>
        <w:t>探索制定服务业地方标准。深度挖掘巴文化、鬼城文化、大河文化内涵，彰显旅游厚重感，培育发展丰都庙会、戏牛舞、木偶戏、石工号子等非遗文化团体标准2项，呈现旅游“丰都韵”。开展丰都县名山景区市级标准化服务示范项目创建工作。按照标准化试点工作和国家5A级景区创建要求，结合景区实际，突出重点，加大国家标准、行业标准在丰都名山景区的实施力度、实施范围和影响力。运用标准化理念和方法，以提高服务质量为目的，全面推动旅游服务业标准体系建设，新培育发展企业标准30项。构建具有自身特色的以国家标准、行业标准为主体，企业标准为补充的旅游服务业标准体系，形成覆盖“食、住、行、游、购、娱”等要素及景区服务功能的标准和服务规范。培育自主品牌，争创旅游业品牌，促进景区旅游服务设施的升级和完善，规范和提高旅游产品和服务质量，提高广大游客的满意度，引导旅游企业向标准化、品牌化方向发展，打造“世界鬼城”国际文化IP。力争标准覆盖率达85%以上，标准贯彻实施率达90%以上，服务质量顾客满意率达95%以上，顺利通过市级标准化示范项目验收。</w:t>
      </w:r>
      <w:r>
        <w:rPr>
          <w:rFonts w:ascii="Times New Roman" w:hAnsi="Times New Roman" w:eastAsia="方正仿宋_GBK" w:cs="Times New Roman"/>
          <w:kern w:val="0"/>
          <w:szCs w:val="32"/>
        </w:rPr>
        <w:t>打造医疗养老服务标准化试点，推进家政服务、家庭养老、智慧养老、社区养老、医养结合和老年健康服务等重点领域企业标准执行，认真贯彻落实养老机构安全设施、物资储备、应急保障、医疗卫生保障等领域相关标准。</w:t>
      </w:r>
      <w:r>
        <w:rPr>
          <w:rFonts w:ascii="Times New Roman" w:hAnsi="Times New Roman" w:eastAsia="方正仿宋_GBK" w:cs="Times New Roman"/>
          <w:szCs w:val="32"/>
        </w:rPr>
        <w:t>推进科技金融、文化金融、绿色金融、互联网金融、供应链金融等领域服务标准执行，研制区块链等金融新技术标准，开展金融服务领域标准化试点。</w:t>
      </w:r>
    </w:p>
    <w:p w14:paraId="127B7D52">
      <w:pPr>
        <w:pStyle w:val="5"/>
        <w:keepNext w:val="0"/>
        <w:keepLines w:val="0"/>
        <w:spacing w:before="0" w:after="0" w:line="570" w:lineRule="exact"/>
        <w:ind w:firstLine="640" w:firstLineChars="200"/>
        <w:rPr>
          <w:rFonts w:ascii="Times New Roman" w:hAnsi="Times New Roman" w:eastAsia="方正黑体_GBK" w:cs="Times New Roman"/>
          <w:b w:val="0"/>
          <w:bCs w:val="0"/>
        </w:rPr>
      </w:pPr>
      <w:bookmarkStart w:id="270" w:name="_Toc12653_WPSOffice_Level2"/>
      <w:bookmarkStart w:id="271" w:name="_Toc23098"/>
      <w:bookmarkStart w:id="272" w:name="_Toc16264"/>
      <w:r>
        <w:rPr>
          <w:rFonts w:ascii="Times New Roman" w:hAnsi="Times New Roman" w:eastAsia="方正黑体_GBK" w:cs="Times New Roman"/>
          <w:b w:val="0"/>
          <w:bCs w:val="0"/>
        </w:rPr>
        <w:t>三、推进计量</w:t>
      </w:r>
      <w:bookmarkEnd w:id="257"/>
      <w:bookmarkStart w:id="273" w:name="_Toc16556"/>
      <w:r>
        <w:rPr>
          <w:rFonts w:ascii="Times New Roman" w:hAnsi="Times New Roman" w:eastAsia="方正黑体_GBK" w:cs="Times New Roman"/>
          <w:b w:val="0"/>
          <w:bCs w:val="0"/>
        </w:rPr>
        <w:t>监管服务</w:t>
      </w:r>
      <w:bookmarkEnd w:id="270"/>
      <w:bookmarkEnd w:id="271"/>
      <w:bookmarkEnd w:id="272"/>
    </w:p>
    <w:bookmarkEnd w:id="273"/>
    <w:p w14:paraId="159C7819">
      <w:pPr>
        <w:spacing w:line="570" w:lineRule="exact"/>
        <w:ind w:firstLine="640" w:firstLineChars="200"/>
        <w:rPr>
          <w:rFonts w:ascii="Times New Roman" w:hAnsi="Times New Roman" w:eastAsia="方正仿宋_GBK" w:cs="Times New Roman"/>
        </w:rPr>
      </w:pPr>
      <w:bookmarkStart w:id="274" w:name="_Toc20402"/>
      <w:bookmarkStart w:id="275" w:name="_Toc20192"/>
      <w:r>
        <w:rPr>
          <w:rFonts w:ascii="Times New Roman" w:hAnsi="Times New Roman" w:eastAsia="方正仿宋_GBK" w:cs="Times New Roman"/>
        </w:rPr>
        <w:t>持续优化</w:t>
      </w:r>
      <w:r>
        <w:rPr>
          <w:rFonts w:ascii="Times New Roman" w:hAnsi="Times New Roman" w:cs="Times New Roman"/>
          <w:kern w:val="0"/>
          <w:szCs w:val="32"/>
          <w:shd w:val="clear" w:color="auto" w:fill="FFFFFF"/>
        </w:rPr>
        <w:t>贸易结算、医疗卫生、环境监测</w:t>
      </w:r>
      <w:r>
        <w:rPr>
          <w:rFonts w:ascii="Times New Roman" w:hAnsi="Times New Roman" w:eastAsia="方正仿宋_GBK" w:cs="Times New Roman"/>
        </w:rPr>
        <w:t>类计量器具监管方式，加强安全防护类计量器具监管。</w:t>
      </w:r>
      <w:r>
        <w:rPr>
          <w:rFonts w:ascii="Times New Roman" w:hAnsi="Times New Roman" w:eastAsia="方正仿宋_GBK" w:cs="Times New Roman"/>
          <w:szCs w:val="32"/>
        </w:rPr>
        <w:t>围绕碳达峰碳中和计量目标任务，做好重点用能单位能源计量审查工作。</w:t>
      </w:r>
      <w:r>
        <w:rPr>
          <w:rFonts w:ascii="Times New Roman" w:hAnsi="Times New Roman" w:eastAsia="方正仿宋_GBK" w:cs="Times New Roman"/>
          <w:bCs/>
          <w:kern w:val="0"/>
          <w:szCs w:val="32"/>
        </w:rPr>
        <w:t>抓实民生计量工作，落实</w:t>
      </w:r>
      <w:r>
        <w:rPr>
          <w:rFonts w:ascii="Times New Roman" w:hAnsi="Times New Roman" w:eastAsia="方正仿宋_GBK" w:cs="Times New Roman"/>
          <w:bCs/>
          <w:szCs w:val="32"/>
        </w:rPr>
        <w:t>有主办者集贸市场（超市）电子计价秤强检任务，推行农村集贸市场电子计价秤集中强制检定。出租车计价器和加油（气）机受检率分别达95%、98%以上。组织基层医疗机构医用计量设备检定，基层医疗机构覆盖面达到95%以上。推行加油机监管新模式，配备加油机监督检查计量标准罐，制定监管新举措。积极推进</w:t>
      </w:r>
      <w:r>
        <w:rPr>
          <w:rFonts w:ascii="Times New Roman" w:hAnsi="Times New Roman" w:eastAsia="方正仿宋_GBK" w:cs="Times New Roman"/>
          <w:szCs w:val="32"/>
        </w:rPr>
        <w:t>企业自主管理内部使用的最高计量标准器具</w:t>
      </w:r>
      <w:r>
        <w:rPr>
          <w:rFonts w:ascii="Times New Roman" w:hAnsi="Times New Roman" w:eastAsia="方正仿宋_GBK" w:cs="Times New Roman"/>
          <w:bCs/>
          <w:szCs w:val="32"/>
        </w:rPr>
        <w:t>，加强分类指导，发挥行业和企业自主管理作用。</w:t>
      </w:r>
      <w:r>
        <w:rPr>
          <w:rFonts w:ascii="Times New Roman" w:hAnsi="Times New Roman" w:eastAsia="方正仿宋_GBK" w:cs="Times New Roman"/>
        </w:rPr>
        <w:t>构建服务与管理深度融合的新型计量监管模式，营造诚信计量、公平交易的市场环境。严厉打击计量违法行为，规范市场计量秩序，提升计量监管的智能化、科技化水平，建设计量管理信息化系统，提高计量监管的针对性和有效性。</w:t>
      </w:r>
      <w:bookmarkEnd w:id="274"/>
    </w:p>
    <w:p w14:paraId="44B562FE">
      <w:pPr>
        <w:pStyle w:val="5"/>
        <w:keepNext w:val="0"/>
        <w:keepLines w:val="0"/>
        <w:spacing w:before="0" w:after="0" w:line="570" w:lineRule="exact"/>
        <w:ind w:firstLine="640" w:firstLineChars="200"/>
        <w:rPr>
          <w:rFonts w:ascii="Times New Roman" w:hAnsi="Times New Roman" w:eastAsia="方正黑体_GBK" w:cs="Times New Roman"/>
          <w:b w:val="0"/>
          <w:bCs w:val="0"/>
        </w:rPr>
      </w:pPr>
      <w:bookmarkStart w:id="276" w:name="_Toc9530"/>
      <w:bookmarkStart w:id="277" w:name="_Toc9125"/>
      <w:bookmarkStart w:id="278" w:name="_Toc28075_WPSOffice_Level2"/>
      <w:r>
        <w:rPr>
          <w:rFonts w:ascii="Times New Roman" w:hAnsi="Times New Roman" w:eastAsia="方正黑体_GBK" w:cs="Times New Roman"/>
          <w:b w:val="0"/>
          <w:bCs w:val="0"/>
        </w:rPr>
        <w:t>四、加强认证认可工作</w:t>
      </w:r>
      <w:bookmarkEnd w:id="275"/>
      <w:bookmarkEnd w:id="276"/>
      <w:bookmarkEnd w:id="277"/>
      <w:bookmarkEnd w:id="278"/>
    </w:p>
    <w:p w14:paraId="517CEBDE">
      <w:pPr>
        <w:spacing w:line="570" w:lineRule="exact"/>
        <w:ind w:firstLine="640" w:firstLineChars="200"/>
        <w:rPr>
          <w:rFonts w:ascii="Times New Roman" w:hAnsi="Times New Roman" w:eastAsia="方正仿宋_GBK" w:cs="Times New Roman"/>
        </w:rPr>
      </w:pPr>
      <w:bookmarkStart w:id="279" w:name="_Toc21685"/>
      <w:r>
        <w:rPr>
          <w:rFonts w:ascii="Times New Roman" w:hAnsi="Times New Roman" w:eastAsia="方正仿宋_GBK" w:cs="Times New Roman"/>
        </w:rPr>
        <w:t>完善监管机制，加强监管力度，建立切实可行的认证行政监管体系和长效机制，进一步提高行政监管的科学性、有效性和权威性。加强检验检测机构监管，</w:t>
      </w:r>
      <w:r>
        <w:rPr>
          <w:rFonts w:ascii="Times New Roman" w:hAnsi="Times New Roman" w:eastAsia="方正仿宋_GBK" w:cs="Times New Roman"/>
          <w:szCs w:val="32"/>
        </w:rPr>
        <w:t>重点查处检验检测机构伪造原始记录、改变关键检验检测条件等出具虚假、不实检验检测报告违法行为。</w:t>
      </w:r>
      <w:r>
        <w:rPr>
          <w:rFonts w:ascii="Times New Roman" w:hAnsi="Times New Roman" w:eastAsia="方正仿宋_GBK" w:cs="Times New Roman"/>
        </w:rPr>
        <w:t>推动检验检测机构</w:t>
      </w:r>
      <w:r>
        <w:rPr>
          <w:rFonts w:ascii="Times New Roman" w:hAnsi="Times New Roman" w:eastAsia="方正仿宋_GBK" w:cs="Times New Roman"/>
          <w:kern w:val="0"/>
          <w:szCs w:val="32"/>
        </w:rPr>
        <w:t>加强能力建设，督促</w:t>
      </w:r>
      <w:r>
        <w:rPr>
          <w:rFonts w:ascii="Times New Roman" w:hAnsi="Times New Roman" w:eastAsia="方正仿宋_GBK" w:cs="Times New Roman"/>
          <w:szCs w:val="32"/>
        </w:rPr>
        <w:t>按时、按要求参加能力验证。</w:t>
      </w:r>
      <w:r>
        <w:rPr>
          <w:rFonts w:ascii="Times New Roman" w:hAnsi="Times New Roman" w:eastAsia="方正仿宋_GBK" w:cs="Times New Roman"/>
          <w:kern w:val="0"/>
          <w:szCs w:val="32"/>
        </w:rPr>
        <w:t>鼓励检验检测机构“请进来、走出去”，支持开展</w:t>
      </w:r>
      <w:r>
        <w:rPr>
          <w:rFonts w:ascii="Times New Roman" w:hAnsi="Times New Roman" w:eastAsia="方正仿宋_GBK" w:cs="Times New Roman"/>
          <w:szCs w:val="32"/>
        </w:rPr>
        <w:t>技术培训、援建共建、标准比对、能力验证</w:t>
      </w:r>
      <w:r>
        <w:rPr>
          <w:rFonts w:ascii="Times New Roman" w:hAnsi="Times New Roman" w:eastAsia="方正仿宋_GBK" w:cs="Times New Roman"/>
          <w:kern w:val="0"/>
          <w:szCs w:val="32"/>
        </w:rPr>
        <w:t>等合作。支持检验检测机构发展适应地方支柱产业、特色产业需求的检验检测项目。</w:t>
      </w:r>
      <w:r>
        <w:rPr>
          <w:rFonts w:ascii="Times New Roman" w:hAnsi="Times New Roman" w:eastAsia="方正仿宋_GBK" w:cs="Times New Roman"/>
        </w:rPr>
        <w:t>加强强制性产品认证监管，</w:t>
      </w:r>
      <w:r>
        <w:rPr>
          <w:rFonts w:ascii="Times New Roman" w:hAnsi="Times New Roman" w:eastAsia="方正仿宋_GBK" w:cs="Times New Roman"/>
          <w:szCs w:val="32"/>
        </w:rPr>
        <w:t>严格对获证组织获证条件有效性情况开展检查。做好认证机构监督检查，加强认证机构现场审核活动合法性检查。加强</w:t>
      </w:r>
      <w:r>
        <w:rPr>
          <w:rFonts w:ascii="Times New Roman" w:hAnsi="Times New Roman" w:eastAsia="方正仿宋_GBK" w:cs="Times New Roman"/>
        </w:rPr>
        <w:t>自愿性认证获证组织监督检查，及免予办理强制性产品认证的后续监管。严厉查处虚假认证，认证目录产品无证生产销售，伪造、冒用、买卖认证证书等违法行为。加快推行有机产品、绿色食品、低碳产品认证，扩大认证标识应用范围，落实产品认证结果采信，服务乡村振兴战略，提升我县农产品质量竞争力。</w:t>
      </w:r>
    </w:p>
    <w:p w14:paraId="1C75DCB9">
      <w:pPr>
        <w:pStyle w:val="5"/>
        <w:keepNext w:val="0"/>
        <w:keepLines w:val="0"/>
        <w:spacing w:before="0" w:after="0" w:line="570" w:lineRule="exact"/>
        <w:ind w:firstLine="640" w:firstLineChars="200"/>
        <w:rPr>
          <w:rFonts w:ascii="Times New Roman" w:hAnsi="Times New Roman" w:eastAsia="方正黑体_GBK" w:cs="Times New Roman"/>
          <w:b w:val="0"/>
          <w:bCs w:val="0"/>
        </w:rPr>
      </w:pPr>
      <w:bookmarkStart w:id="280" w:name="_Toc1088"/>
      <w:bookmarkStart w:id="281" w:name="_Toc16113_WPSOffice_Level2"/>
      <w:bookmarkStart w:id="282" w:name="_Toc29346"/>
      <w:r>
        <w:rPr>
          <w:rFonts w:ascii="Times New Roman" w:hAnsi="Times New Roman" w:eastAsia="方正黑体_GBK" w:cs="Times New Roman"/>
          <w:b w:val="0"/>
          <w:bCs w:val="0"/>
        </w:rPr>
        <w:t>五、推动广告业高质量发展</w:t>
      </w:r>
      <w:bookmarkEnd w:id="279"/>
      <w:bookmarkEnd w:id="280"/>
      <w:bookmarkEnd w:id="281"/>
      <w:bookmarkEnd w:id="282"/>
    </w:p>
    <w:p w14:paraId="6872118A">
      <w:pPr>
        <w:spacing w:line="570" w:lineRule="exact"/>
        <w:ind w:firstLine="640" w:firstLineChars="200"/>
        <w:rPr>
          <w:rStyle w:val="24"/>
          <w:rFonts w:ascii="Times New Roman" w:hAnsi="Times New Roman" w:cs="Times New Roman"/>
          <w:b w:val="0"/>
          <w:bCs w:val="0"/>
        </w:rPr>
      </w:pPr>
      <w:r>
        <w:rPr>
          <w:rFonts w:ascii="Times New Roman" w:hAnsi="Times New Roman" w:eastAsia="方正仿宋_GBK" w:cs="Times New Roman"/>
          <w:szCs w:val="32"/>
        </w:rPr>
        <w:t>进一步提升广告企业服务能力，适应经济新常态下广告市场的多层次需求，促进细分市场服务能力和服务效率的中小型广告企业向专、精、特、新方向发展，培育30户创新能力强、具有专业服务能力的骨干广告企业。促进广告产业创新，推进以“创意、创新、创业”为核心的广告产业创新发展，鼓励支持加快广告业技术创新、经营方式创新、媒介形式创新、业界文化创新。推进广告产业融合发展，鼓励和支持广告企业与新业态、新媒体、新技术以及山地特色生态农业、生态文旅产业、绿色工业、农文旅融合等重点领域的深度融合，与其他现代服务业、文化产业的融合发展，推进广告业跨行业、跨领域的产业融合，指导成立广告业行业协会，构建新型广告产业生态圈。</w:t>
      </w:r>
      <w:r>
        <w:rPr>
          <w:rStyle w:val="24"/>
          <w:rFonts w:ascii="Times New Roman" w:hAnsi="Times New Roman" w:cs="Times New Roman"/>
          <w:b w:val="0"/>
        </w:rPr>
        <w:br w:type="page"/>
      </w:r>
    </w:p>
    <w:p w14:paraId="121A3874">
      <w:pPr>
        <w:pStyle w:val="4"/>
        <w:keepNext w:val="0"/>
        <w:keepLines w:val="0"/>
        <w:spacing w:before="0" w:after="0" w:line="570" w:lineRule="exact"/>
        <w:ind w:left="0"/>
        <w:rPr>
          <w:rStyle w:val="24"/>
          <w:rFonts w:eastAsia="方正小标宋_GBK"/>
          <w:b w:val="0"/>
          <w:bCs w:val="0"/>
          <w:sz w:val="44"/>
          <w:szCs w:val="44"/>
          <w:shd w:val="clear" w:color="auto" w:fill="auto"/>
        </w:rPr>
      </w:pPr>
      <w:bookmarkStart w:id="283" w:name="_Toc20172"/>
      <w:bookmarkStart w:id="284" w:name="_Toc26848"/>
      <w:bookmarkStart w:id="285" w:name="_Toc6073"/>
      <w:bookmarkStart w:id="286" w:name="_Toc6272_WPSOffice_Level1"/>
      <w:r>
        <w:rPr>
          <w:rStyle w:val="24"/>
          <w:rFonts w:eastAsia="方正小标宋_GBK"/>
          <w:b w:val="0"/>
          <w:bCs w:val="0"/>
          <w:sz w:val="44"/>
          <w:szCs w:val="44"/>
          <w:shd w:val="clear" w:color="auto" w:fill="auto"/>
        </w:rPr>
        <w:t>第六部分：加强知识产权保护运用</w:t>
      </w:r>
      <w:bookmarkEnd w:id="283"/>
      <w:bookmarkEnd w:id="284"/>
      <w:bookmarkEnd w:id="285"/>
      <w:bookmarkEnd w:id="286"/>
    </w:p>
    <w:p w14:paraId="5CBFED56">
      <w:pPr>
        <w:spacing w:line="570" w:lineRule="exact"/>
        <w:ind w:firstLine="640" w:firstLineChars="200"/>
        <w:rPr>
          <w:rFonts w:ascii="Times New Roman" w:hAnsi="Times New Roman" w:eastAsia="方正仿宋_GBK" w:cs="Times New Roman"/>
          <w:szCs w:val="32"/>
        </w:rPr>
      </w:pPr>
    </w:p>
    <w:p w14:paraId="0879631A">
      <w:pPr>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szCs w:val="32"/>
        </w:rPr>
        <w:t>立足新发展阶段、贯彻新发展理念，促进知识产权高质量创造、高标准保护、高效益运用、高品质服务，构建知识产权保护运用新发展格局。到2025年，全县知识产权保护体系更加完善，知识产权创造能力更加突出，知识产权运用成效更加显著，知识产权管理服务更加高效。</w:t>
      </w:r>
    </w:p>
    <w:p w14:paraId="4870EBEE">
      <w:pPr>
        <w:pStyle w:val="5"/>
        <w:keepNext w:val="0"/>
        <w:keepLines w:val="0"/>
        <w:spacing w:before="0" w:after="0" w:line="570" w:lineRule="exact"/>
        <w:ind w:firstLine="640" w:firstLineChars="200"/>
        <w:rPr>
          <w:rFonts w:ascii="Times New Roman" w:hAnsi="Times New Roman" w:eastAsia="方正黑体_GBK" w:cs="Times New Roman"/>
          <w:b w:val="0"/>
          <w:bCs w:val="0"/>
        </w:rPr>
      </w:pPr>
      <w:bookmarkStart w:id="287" w:name="_Toc26697_WPSOffice_Level2"/>
      <w:bookmarkStart w:id="288" w:name="_Toc320"/>
      <w:bookmarkStart w:id="289" w:name="_Toc4116"/>
      <w:bookmarkStart w:id="290" w:name="_Toc7414"/>
      <w:r>
        <w:rPr>
          <w:rFonts w:ascii="Times New Roman" w:hAnsi="Times New Roman" w:eastAsia="方正黑体_GBK" w:cs="Times New Roman"/>
          <w:b w:val="0"/>
          <w:bCs w:val="0"/>
        </w:rPr>
        <w:t>一、加大知识产权保护力度</w:t>
      </w:r>
      <w:bookmarkEnd w:id="287"/>
      <w:bookmarkEnd w:id="288"/>
      <w:bookmarkEnd w:id="289"/>
      <w:bookmarkEnd w:id="290"/>
    </w:p>
    <w:p w14:paraId="58DC5900">
      <w:pPr>
        <w:spacing w:line="57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优化完善知识产权司法保护制度、行政保护制度，健全知识产权执法司法保护机制，加强知识产权保护行政执法和维权援助。依托知识产权保护机构，深化知识产权保护协作，加快健全知识产权保护体系。实行严格的知识产权保护，加大知识产权侵权、假冒等违法行为的查处力度。进一步简化程序，建立和完善纠纷案件快速调处机制。进一步强化行政执法与司法衔接，探索建立专利、商标、版权侵权案件行政调处前置制度，继续开展专利纠纷行政调解协议的司法确认工作。建立知识产权纠纷多元化解平台、构建便捷高效低成本的维权渠道。切实加强维权援助，推进知识产权保护协作，探索开展知识产权侵权案件诉中委托调解。</w:t>
      </w:r>
    </w:p>
    <w:p w14:paraId="52B83117">
      <w:pPr>
        <w:pStyle w:val="5"/>
        <w:keepNext w:val="0"/>
        <w:keepLines w:val="0"/>
        <w:spacing w:before="0" w:after="0" w:line="570" w:lineRule="exact"/>
        <w:ind w:firstLine="640" w:firstLineChars="200"/>
        <w:rPr>
          <w:rFonts w:ascii="Times New Roman" w:hAnsi="Times New Roman" w:eastAsia="方正黑体_GBK" w:cs="Times New Roman"/>
          <w:b w:val="0"/>
          <w:bCs w:val="0"/>
        </w:rPr>
      </w:pPr>
      <w:bookmarkStart w:id="291" w:name="_Toc15091"/>
      <w:bookmarkStart w:id="292" w:name="_Toc6348"/>
      <w:bookmarkStart w:id="293" w:name="_Toc26111"/>
      <w:bookmarkStart w:id="294" w:name="_Toc18229_WPSOffice_Level2"/>
      <w:r>
        <w:rPr>
          <w:rFonts w:ascii="Times New Roman" w:hAnsi="Times New Roman" w:eastAsia="方正黑体_GBK" w:cs="Times New Roman"/>
          <w:b w:val="0"/>
          <w:bCs w:val="0"/>
        </w:rPr>
        <w:t>二、完善知识产权创造机制</w:t>
      </w:r>
      <w:bookmarkEnd w:id="291"/>
      <w:bookmarkEnd w:id="292"/>
      <w:bookmarkEnd w:id="293"/>
      <w:bookmarkEnd w:id="294"/>
    </w:p>
    <w:p w14:paraId="351F14C4">
      <w:pPr>
        <w:spacing w:line="57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落实知识产权创造制度，突出知识产权创造企业主体地位，健全完善知识产权创造运用能力和激励政策。全面推进知识产权强县建设，努力培育更多高价值核心专利、知名品牌，努力实现知识产权创造由多向优、由大到强转变。大力引导高价值创新创造，提升创新主体专利创造能力，深入开展企事业单位知识产权培育工作，打造企事业单位核心专利，提高企业竞争力。进一步推进区域知识产权工作，打造渝东北三峡库区城镇群知识产权质量高地。进一步强化知识产权综合布局，紧紧围绕战略性新兴产业、传统优势产业以及关键技术领域进行专利布局，努力获取一批新技术、新工艺、新产品的专利权，形成一批高质量专利组合。推进商标和地理标志产品产业化，开展商标和地理标志产品优势培育工作。</w:t>
      </w:r>
    </w:p>
    <w:p w14:paraId="4E1BDB9C">
      <w:pPr>
        <w:pStyle w:val="5"/>
        <w:keepNext w:val="0"/>
        <w:keepLines w:val="0"/>
        <w:spacing w:before="0" w:after="0" w:line="570" w:lineRule="exact"/>
        <w:ind w:firstLine="640" w:firstLineChars="200"/>
        <w:rPr>
          <w:rFonts w:ascii="Times New Roman" w:hAnsi="Times New Roman" w:eastAsia="方正黑体_GBK" w:cs="Times New Roman"/>
          <w:b w:val="0"/>
          <w:bCs w:val="0"/>
        </w:rPr>
      </w:pPr>
      <w:bookmarkStart w:id="295" w:name="_Toc30254"/>
      <w:bookmarkStart w:id="296" w:name="_Toc23996"/>
      <w:bookmarkStart w:id="297" w:name="_Toc21981"/>
      <w:bookmarkStart w:id="298" w:name="_Toc16969_WPSOffice_Level2"/>
      <w:r>
        <w:rPr>
          <w:rFonts w:ascii="Times New Roman" w:hAnsi="Times New Roman" w:eastAsia="方正黑体_GBK" w:cs="Times New Roman"/>
          <w:b w:val="0"/>
          <w:bCs w:val="0"/>
        </w:rPr>
        <w:t>三、提升知识产权运用效能</w:t>
      </w:r>
      <w:bookmarkEnd w:id="295"/>
      <w:bookmarkEnd w:id="296"/>
      <w:bookmarkEnd w:id="297"/>
      <w:bookmarkEnd w:id="298"/>
    </w:p>
    <w:p w14:paraId="3292143F">
      <w:pPr>
        <w:spacing w:line="57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健全完善知识产权运用机制，提高科技成果转化成效。有效利用知识产权运营载体，扩大知识产权交易，健全知识产权投融资体系，深入推进知识产权质押融资、知识价值信用贷款。支持银行和非银行类金融机构创新知识产权金融产品，引导价值评估、交易撮合、法律事务等机构进入知识产权金融市场，探索创新知识产权价值评估、风险分担、风险补偿机制。支持第三方专业机构开展价值识别、许可转让、收购托管、作价入股、交易运营等工作。完善知识产权转化运营相关制度机制，培育一批高价值专利、高品质商标品牌、高质量版权作品。围绕丰都肉牛、丰都麻辣鸡、丰都红心柚</w:t>
      </w:r>
      <w:r>
        <w:rPr>
          <w:rFonts w:ascii="Times New Roman" w:hAnsi="Times New Roman" w:eastAsia="方正仿宋_GBK" w:cs="Times New Roman"/>
        </w:rPr>
        <w:t>、丰都龙眼、董家花椒、保合梨橙、轿子山白菜等主导产业，加强地理标志培育和产品推广，争创市级地理标志运用示范基地。</w:t>
      </w:r>
    </w:p>
    <w:p w14:paraId="6CB2B082">
      <w:pPr>
        <w:pStyle w:val="5"/>
        <w:keepNext w:val="0"/>
        <w:keepLines w:val="0"/>
        <w:spacing w:before="0" w:after="0" w:line="570" w:lineRule="exact"/>
        <w:ind w:firstLine="640" w:firstLineChars="200"/>
        <w:rPr>
          <w:rFonts w:ascii="Times New Roman" w:hAnsi="Times New Roman" w:eastAsia="方正黑体_GBK" w:cs="Times New Roman"/>
          <w:b w:val="0"/>
          <w:bCs w:val="0"/>
        </w:rPr>
      </w:pPr>
      <w:bookmarkStart w:id="299" w:name="_Toc20339_WPSOffice_Level2"/>
      <w:bookmarkStart w:id="300" w:name="_Toc31006"/>
      <w:bookmarkStart w:id="301" w:name="_Toc9912"/>
      <w:bookmarkStart w:id="302" w:name="_Toc8766"/>
      <w:r>
        <w:rPr>
          <w:rFonts w:ascii="Times New Roman" w:hAnsi="Times New Roman" w:eastAsia="方正黑体_GBK" w:cs="Times New Roman"/>
          <w:b w:val="0"/>
          <w:bCs w:val="0"/>
        </w:rPr>
        <w:t>四、健全知识产权服务体系</w:t>
      </w:r>
      <w:bookmarkEnd w:id="299"/>
      <w:bookmarkEnd w:id="300"/>
      <w:bookmarkEnd w:id="301"/>
      <w:bookmarkEnd w:id="302"/>
    </w:p>
    <w:p w14:paraId="74C41E9E">
      <w:pPr>
        <w:spacing w:line="57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利用重庆市知识产权公共服务平台，提升知识产权公共服务能力。推动建设知识产权服务中心，支持企事业单位和社会服务机构设立知识产权信息服务工作站。推进知识产权申请注册登记便利化改革，支持知识产权服务机构发展，提高知识产权数据、咨询、代理、法律、培训等领域服务能力。加强知识产权服务业监管，严厉打击非正常专利申请、恶意商标注册等违法行为。</w:t>
      </w:r>
    </w:p>
    <w:p w14:paraId="6ECD2CB7">
      <w:pPr>
        <w:pStyle w:val="5"/>
        <w:keepNext w:val="0"/>
        <w:keepLines w:val="0"/>
        <w:spacing w:before="0" w:after="0" w:line="570" w:lineRule="exact"/>
        <w:ind w:firstLine="640" w:firstLineChars="200"/>
        <w:rPr>
          <w:rFonts w:ascii="Times New Roman" w:hAnsi="Times New Roman" w:eastAsia="方正仿宋_GBK" w:cs="Times New Roman"/>
        </w:rPr>
      </w:pPr>
      <w:bookmarkStart w:id="303" w:name="_Toc17998"/>
      <w:bookmarkStart w:id="304" w:name="_Toc9502"/>
      <w:bookmarkStart w:id="305" w:name="_Toc13782"/>
      <w:bookmarkStart w:id="306" w:name="_Toc6899_WPSOffice_Level2"/>
      <w:r>
        <w:rPr>
          <w:rFonts w:ascii="Times New Roman" w:hAnsi="Times New Roman" w:eastAsia="方正黑体_GBK" w:cs="Times New Roman"/>
          <w:b w:val="0"/>
          <w:bCs w:val="0"/>
        </w:rPr>
        <w:t>五、扎实推进商标品牌建设</w:t>
      </w:r>
      <w:bookmarkEnd w:id="303"/>
      <w:bookmarkEnd w:id="304"/>
      <w:bookmarkEnd w:id="305"/>
      <w:bookmarkEnd w:id="306"/>
    </w:p>
    <w:p w14:paraId="0DDD6580">
      <w:pPr>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深入实施商标品牌战略，完善商标品牌培育扶持政策体系，加大商标品牌培育力度。增强企业商标品牌意识，引导企业注册和培育自主品牌。充分发行业协会作用，服务商标品牌发展。加大商标品牌投入，文化建设，夯实商标品牌培育发展基础。加快培育农业、旅游业、现代服务业等商标品牌。积极培育具有市场竞争力、国际影响力的商标品牌。强化自主品牌宣传推广，倡导自主品牌消费。</w:t>
      </w:r>
    </w:p>
    <w:p w14:paraId="08457902">
      <w:pPr>
        <w:spacing w:line="570" w:lineRule="exact"/>
        <w:ind w:firstLine="640" w:firstLineChars="200"/>
        <w:rPr>
          <w:rFonts w:ascii="Times New Roman" w:hAnsi="Times New Roman" w:eastAsia="方正楷体_GBK" w:cs="Times New Roman"/>
        </w:rPr>
      </w:pPr>
      <w:bookmarkStart w:id="307" w:name="_Toc21735_WPSOffice_Level3"/>
      <w:r>
        <w:rPr>
          <w:rFonts w:ascii="Times New Roman" w:hAnsi="Times New Roman" w:eastAsia="方正楷体_GBK" w:cs="Times New Roman"/>
        </w:rPr>
        <w:t>（一）实施商标品牌培育计划</w:t>
      </w:r>
      <w:bookmarkEnd w:id="307"/>
    </w:p>
    <w:p w14:paraId="6A91F5D8">
      <w:pPr>
        <w:spacing w:line="57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rPr>
        <w:t>围绕</w:t>
      </w:r>
      <w:r>
        <w:rPr>
          <w:rFonts w:ascii="Times New Roman" w:hAnsi="Times New Roman" w:eastAsia="方正仿宋_GBK" w:cs="Times New Roman"/>
          <w:szCs w:val="32"/>
        </w:rPr>
        <w:t>具有地方特色、文化价值的农产品品牌资源培育一批高效特色农产品品牌，提升农户和农业企业品牌意识，引导农民走高效农业之路，农业企业走品牌强企之路。依托丰都鬼城文化、巴渝文化以及非物质文化遗产，围绕文旅、商贸、健康、餐饮等生活性服务业，创建一批特色突出、影响力较强的丰都公用品牌。</w:t>
      </w:r>
    </w:p>
    <w:p w14:paraId="21908288">
      <w:pPr>
        <w:spacing w:line="570" w:lineRule="exact"/>
        <w:ind w:firstLine="640" w:firstLineChars="200"/>
        <w:rPr>
          <w:rFonts w:ascii="Times New Roman" w:hAnsi="Times New Roman" w:eastAsia="方正楷体_GBK" w:cs="Times New Roman"/>
          <w:szCs w:val="32"/>
        </w:rPr>
      </w:pPr>
      <w:bookmarkStart w:id="308" w:name="_Toc12641_WPSOffice_Level3"/>
      <w:r>
        <w:rPr>
          <w:rFonts w:ascii="Times New Roman" w:hAnsi="Times New Roman" w:eastAsia="方正楷体_GBK" w:cs="Times New Roman"/>
          <w:szCs w:val="32"/>
        </w:rPr>
        <w:t>（二）实施商标品牌推广行动</w:t>
      </w:r>
      <w:bookmarkEnd w:id="308"/>
    </w:p>
    <w:p w14:paraId="483FE41F">
      <w:pPr>
        <w:spacing w:line="57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支持企业参加中国品牌日、中国知识产权年会、中国国际商标品牌节以及国内外有影响力的展会、博览会。鼓励企业参加“中国商标金奖”评选活动，扩大商标品牌知名度。</w:t>
      </w:r>
    </w:p>
    <w:p w14:paraId="579B2E88">
      <w:pPr>
        <w:spacing w:line="570" w:lineRule="exact"/>
        <w:ind w:firstLine="640" w:firstLineChars="200"/>
        <w:rPr>
          <w:rFonts w:ascii="Times New Roman" w:hAnsi="Times New Roman" w:eastAsia="方正楷体_GBK" w:cs="Times New Roman"/>
          <w:szCs w:val="32"/>
        </w:rPr>
      </w:pPr>
      <w:bookmarkStart w:id="309" w:name="_Toc7656_WPSOffice_Level3"/>
      <w:r>
        <w:rPr>
          <w:rFonts w:ascii="Times New Roman" w:hAnsi="Times New Roman" w:eastAsia="方正楷体_GBK" w:cs="Times New Roman"/>
          <w:szCs w:val="32"/>
        </w:rPr>
        <w:t>（三）实施商标品牌服务行动</w:t>
      </w:r>
      <w:bookmarkEnd w:id="309"/>
    </w:p>
    <w:p w14:paraId="17FFE9F6">
      <w:pPr>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szCs w:val="32"/>
        </w:rPr>
        <w:t>深入辖区重点企业，集中开展区域品牌调查活动。采取座谈培训、征求意见、发放资料等多种形式，全面了解企业管理模式、商标注册、产业特点、组织建设等情况，向企业讲解商标品牌注册的重要意义和法律依据，介绍本地商标品牌成功案例，解读我县商标品牌建设扶持政策。</w:t>
      </w:r>
    </w:p>
    <w:p w14:paraId="6F26E2AA">
      <w:pPr>
        <w:ind w:firstLine="640" w:firstLineChars="200"/>
        <w:rPr>
          <w:rFonts w:ascii="Times New Roman" w:hAnsi="Times New Roman" w:eastAsia="方正仿宋_GBK" w:cs="Times New Roman"/>
          <w:szCs w:val="32"/>
        </w:rPr>
      </w:pPr>
    </w:p>
    <w:p w14:paraId="2CE62720">
      <w:pPr>
        <w:ind w:firstLine="640" w:firstLineChars="200"/>
        <w:rPr>
          <w:rFonts w:ascii="Times New Roman" w:hAnsi="Times New Roman" w:eastAsia="方正仿宋_GBK" w:cs="Times New Roman"/>
          <w:szCs w:val="32"/>
        </w:rPr>
      </w:pPr>
    </w:p>
    <w:p w14:paraId="18AA3A1A">
      <w:pPr>
        <w:ind w:firstLine="640" w:firstLineChars="200"/>
        <w:rPr>
          <w:rFonts w:ascii="Times New Roman" w:hAnsi="Times New Roman" w:eastAsia="方正仿宋_GBK" w:cs="Times New Roman"/>
          <w:szCs w:val="32"/>
        </w:rPr>
      </w:pPr>
    </w:p>
    <w:p w14:paraId="5BA9DE67">
      <w:pPr>
        <w:jc w:val="center"/>
        <w:rPr>
          <w:rStyle w:val="24"/>
          <w:rFonts w:ascii="Times New Roman" w:hAnsi="Times New Roman" w:eastAsia="方正小标宋_GBK" w:cs="Times New Roman"/>
          <w:b w:val="0"/>
          <w:bCs w:val="0"/>
          <w:sz w:val="44"/>
          <w:szCs w:val="44"/>
        </w:rPr>
      </w:pPr>
    </w:p>
    <w:p w14:paraId="1C6DA99C">
      <w:pPr>
        <w:pStyle w:val="2"/>
        <w:rPr>
          <w:rFonts w:ascii="Times New Roman" w:hAnsi="Times New Roman" w:cs="Times New Roman"/>
        </w:rPr>
      </w:pPr>
    </w:p>
    <w:p w14:paraId="72EB52D0">
      <w:pPr>
        <w:pStyle w:val="11"/>
        <w:ind w:left="2560"/>
        <w:rPr>
          <w:rFonts w:ascii="Times New Roman" w:hAnsi="Times New Roman"/>
        </w:rPr>
      </w:pPr>
    </w:p>
    <w:p w14:paraId="21361A7D">
      <w:pPr>
        <w:rPr>
          <w:rFonts w:ascii="Times New Roman" w:hAnsi="Times New Roman"/>
        </w:rPr>
      </w:pPr>
    </w:p>
    <w:p w14:paraId="049FDE2B">
      <w:pPr>
        <w:pStyle w:val="8"/>
      </w:pPr>
    </w:p>
    <w:p w14:paraId="76DF9B0E">
      <w:pPr>
        <w:rPr>
          <w:rFonts w:ascii="Times New Roman" w:hAnsi="Times New Roman"/>
        </w:rPr>
      </w:pPr>
    </w:p>
    <w:p w14:paraId="28B48335">
      <w:pPr>
        <w:pStyle w:val="8"/>
      </w:pPr>
    </w:p>
    <w:p w14:paraId="0B048F66">
      <w:pPr>
        <w:rPr>
          <w:rFonts w:ascii="Times New Roman" w:hAnsi="Times New Roman"/>
        </w:rPr>
      </w:pPr>
    </w:p>
    <w:p w14:paraId="70D4C7D9">
      <w:pPr>
        <w:spacing w:line="570" w:lineRule="exact"/>
        <w:jc w:val="center"/>
        <w:rPr>
          <w:rStyle w:val="24"/>
          <w:rFonts w:ascii="Times New Roman" w:hAnsi="Times New Roman" w:eastAsia="方正小标宋_GBK" w:cs="Times New Roman"/>
          <w:b w:val="0"/>
          <w:bCs w:val="0"/>
          <w:sz w:val="44"/>
          <w:szCs w:val="44"/>
        </w:rPr>
      </w:pPr>
    </w:p>
    <w:p w14:paraId="23BD6A91">
      <w:pPr>
        <w:spacing w:line="570" w:lineRule="exact"/>
        <w:jc w:val="center"/>
        <w:rPr>
          <w:rStyle w:val="24"/>
          <w:rFonts w:ascii="Times New Roman" w:hAnsi="Times New Roman" w:eastAsia="方正小标宋_GBK" w:cs="Times New Roman"/>
          <w:b w:val="0"/>
          <w:bCs w:val="0"/>
          <w:sz w:val="44"/>
          <w:szCs w:val="44"/>
        </w:rPr>
      </w:pPr>
      <w:bookmarkStart w:id="310" w:name="_Toc23362_WPSOffice_Level1"/>
      <w:r>
        <w:rPr>
          <w:rStyle w:val="24"/>
          <w:rFonts w:ascii="Times New Roman" w:hAnsi="Times New Roman" w:eastAsia="方正小标宋_GBK" w:cs="Times New Roman"/>
          <w:b w:val="0"/>
          <w:bCs w:val="0"/>
          <w:sz w:val="44"/>
          <w:szCs w:val="44"/>
        </w:rPr>
        <w:t>第七部分：纵深拓展聚力重点项目</w:t>
      </w:r>
      <w:bookmarkEnd w:id="310"/>
    </w:p>
    <w:p w14:paraId="408A976F">
      <w:pPr>
        <w:pStyle w:val="5"/>
        <w:keepNext w:val="0"/>
        <w:keepLines w:val="0"/>
        <w:spacing w:before="0" w:after="0" w:line="570" w:lineRule="exact"/>
        <w:ind w:firstLine="640" w:firstLineChars="200"/>
        <w:rPr>
          <w:rFonts w:ascii="Times New Roman" w:hAnsi="Times New Roman" w:eastAsia="方正黑体_GBK" w:cs="Times New Roman"/>
          <w:b w:val="0"/>
          <w:bCs w:val="0"/>
          <w:lang w:val="zh-CN"/>
        </w:rPr>
      </w:pPr>
      <w:bookmarkStart w:id="311" w:name="_Toc10401"/>
    </w:p>
    <w:p w14:paraId="50FD3E05">
      <w:pPr>
        <w:pStyle w:val="5"/>
        <w:keepNext w:val="0"/>
        <w:keepLines w:val="0"/>
        <w:spacing w:before="0" w:after="0" w:line="570" w:lineRule="exact"/>
        <w:ind w:firstLine="640" w:firstLineChars="200"/>
        <w:rPr>
          <w:rFonts w:ascii="Times New Roman" w:hAnsi="Times New Roman" w:eastAsia="方正黑体_GBK" w:cs="Times New Roman"/>
          <w:b w:val="0"/>
          <w:bCs w:val="0"/>
          <w:lang w:val="zh-CN"/>
        </w:rPr>
      </w:pPr>
      <w:bookmarkStart w:id="312" w:name="_Toc21735_WPSOffice_Level2"/>
      <w:bookmarkStart w:id="313" w:name="_Toc17602"/>
      <w:bookmarkStart w:id="314" w:name="_Toc17077"/>
      <w:r>
        <w:rPr>
          <w:rFonts w:ascii="Times New Roman" w:hAnsi="Times New Roman" w:eastAsia="方正黑体_GBK" w:cs="Times New Roman"/>
          <w:b w:val="0"/>
          <w:bCs w:val="0"/>
          <w:lang w:val="zh-CN"/>
        </w:rPr>
        <w:t>一、创建国家食品安全示范城市</w:t>
      </w:r>
      <w:bookmarkEnd w:id="312"/>
      <w:bookmarkEnd w:id="313"/>
      <w:bookmarkEnd w:id="314"/>
    </w:p>
    <w:p w14:paraId="30294E5B">
      <w:pPr>
        <w:spacing w:line="570" w:lineRule="exact"/>
        <w:ind w:firstLine="643" w:firstLineChars="200"/>
        <w:rPr>
          <w:rFonts w:ascii="Times New Roman" w:hAnsi="Times New Roman" w:cs="Times New Roman"/>
        </w:rPr>
      </w:pPr>
      <w:r>
        <w:rPr>
          <w:rFonts w:ascii="Times New Roman" w:hAnsi="Times New Roman" w:eastAsia="方正仿宋_GBK" w:cs="Times New Roman"/>
          <w:b/>
          <w:bCs/>
          <w:szCs w:val="32"/>
          <w:lang w:val="zh-CN"/>
        </w:rPr>
        <w:t>一是</w:t>
      </w:r>
      <w:r>
        <w:rPr>
          <w:rFonts w:ascii="Times New Roman" w:hAnsi="Times New Roman" w:eastAsia="方正仿宋_GBK" w:cs="Times New Roman"/>
          <w:szCs w:val="32"/>
          <w:lang w:val="zh-CN"/>
        </w:rPr>
        <w:t>加强组织领导。县政府是创建国家食品安全示范城市的责任主体，要加强对本县创建工作的领导、组织和协调，抽调精干力量、搭建工作专班，落实专项经费、健全运行机制，制定实施方案、强化督查考核，做到领导、人员、经费、机制到位，确保如期实现创建目标。县食药安委其他成员单位要立足职能，加大本领域保障指导力度，形成支持创建的工作合力，确保实现“十四五”总体目标。</w:t>
      </w:r>
      <w:r>
        <w:rPr>
          <w:rFonts w:ascii="Times New Roman" w:hAnsi="Times New Roman" w:eastAsia="方正仿宋_GBK" w:cs="Times New Roman"/>
          <w:b/>
          <w:bCs/>
          <w:szCs w:val="32"/>
          <w:lang w:val="zh-CN"/>
        </w:rPr>
        <w:t>二是</w:t>
      </w:r>
      <w:r>
        <w:rPr>
          <w:rFonts w:ascii="Times New Roman" w:hAnsi="Times New Roman" w:eastAsia="方正仿宋_GBK" w:cs="Times New Roman"/>
          <w:szCs w:val="32"/>
          <w:lang w:val="zh-CN"/>
        </w:rPr>
        <w:t>强化政策激励。要将创建国家食品安全示范城市工作经费纳入本级财政预算保障。创建国家食品安全示范城市的结果作为党政领导干部考核、奖惩和使用、调整的重要参考；创建成功获得命名视为“连续在食品安全工作评议考核中成绩优秀”，由县委县政府依据《地方党政领导干部食品安全责任制规定》（厅字〔2019〕13号）给予表彰奖励。</w:t>
      </w:r>
      <w:r>
        <w:rPr>
          <w:rFonts w:ascii="Times New Roman" w:hAnsi="Times New Roman" w:eastAsia="方正仿宋_GBK" w:cs="Times New Roman"/>
          <w:b/>
          <w:bCs/>
          <w:szCs w:val="32"/>
          <w:lang w:val="zh-CN"/>
        </w:rPr>
        <w:t>三是</w:t>
      </w:r>
      <w:r>
        <w:rPr>
          <w:rFonts w:ascii="Times New Roman" w:hAnsi="Times New Roman" w:eastAsia="方正仿宋_GBK" w:cs="Times New Roman"/>
          <w:szCs w:val="32"/>
          <w:lang w:val="zh-CN"/>
        </w:rPr>
        <w:t>营造社会氛围。社会认可、群众满意是食品安全工作水平的最终衡量标准，也是国家食品安全示范城市验收的“关键项”。县食药安办要策划好、组织好县级层面创建工作宣传活动。要把提升创建知晓率和群众满意度作为重要指标，制定专项宣传方案，充分利用各种媒体，以群众喜闻乐见的形式，多层次、多渠道宣传创建工作，大力提升群众对创建工作的知晓率和参与度，凝聚社会共识，营造全民共建国家食品安全示范城市的浓厚氛围，确保群众满意度稳步提升。</w:t>
      </w:r>
      <w:r>
        <w:rPr>
          <w:rFonts w:ascii="Times New Roman" w:hAnsi="Times New Roman" w:eastAsia="方正仿宋_GBK" w:cs="Times New Roman"/>
          <w:b/>
          <w:bCs/>
          <w:szCs w:val="32"/>
          <w:lang w:val="zh-CN"/>
        </w:rPr>
        <w:t>四是</w:t>
      </w:r>
      <w:r>
        <w:rPr>
          <w:rFonts w:ascii="Times New Roman" w:hAnsi="Times New Roman" w:eastAsia="方正仿宋_GBK" w:cs="Times New Roman"/>
          <w:szCs w:val="32"/>
          <w:lang w:val="zh-CN"/>
        </w:rPr>
        <w:t>夯实基础工作。控制区域性系统性风险，防止发生重大事故，保持较高的抽检合格率，既是食品安全工作的底线，也是创建国家食品安全示范城市的“硬指标”。各乡镇街道、各食药安委成员单位要以创建工作为抓手，全面梳理和不断夯实食品安全基础工作，落实党政领导责任、行业主管责任、部门监管责任、企业主体责任和社会监督责任，建立食品安全现代化治理体系，提高从农田到餐桌全过程监管能力，提升食品全链条质量安全保障水平，着力解决当前食品安全突出问题和群众关注的热点难点问题，牢牢守住不发生重大食品安全事件和严重不良社会影响事件的底线。在202</w:t>
      </w:r>
      <w:r>
        <w:rPr>
          <w:rFonts w:ascii="Times New Roman" w:hAnsi="Times New Roman" w:eastAsia="方正仿宋_GBK" w:cs="Times New Roman"/>
          <w:szCs w:val="32"/>
        </w:rPr>
        <w:t>4</w:t>
      </w:r>
      <w:r>
        <w:rPr>
          <w:rFonts w:ascii="Times New Roman" w:hAnsi="Times New Roman" w:eastAsia="方正仿宋_GBK" w:cs="Times New Roman"/>
          <w:szCs w:val="32"/>
          <w:lang w:val="zh-CN"/>
        </w:rPr>
        <w:t>年7月底前，县食药安办要按照新版《评价细则》和市级初评程序，对辖区食品安全工作开展一次综合评价，作为查找创建差距、抓好问题整改、夯实基础工作的依据。</w:t>
      </w:r>
      <w:r>
        <w:rPr>
          <w:rFonts w:ascii="Times New Roman" w:hAnsi="Times New Roman" w:eastAsia="方正仿宋_GBK" w:cs="Times New Roman"/>
          <w:b/>
          <w:bCs/>
          <w:szCs w:val="32"/>
          <w:lang w:val="zh-CN"/>
        </w:rPr>
        <w:t>五是</w:t>
      </w:r>
      <w:r>
        <w:rPr>
          <w:rFonts w:ascii="Times New Roman" w:hAnsi="Times New Roman" w:eastAsia="方正仿宋_GBK" w:cs="Times New Roman"/>
          <w:szCs w:val="32"/>
          <w:lang w:val="zh-CN"/>
        </w:rPr>
        <w:t>注重示范引领。各乡镇街道、相关食药安委成员单位要持续开展放心肉菜示范超市创建、农贸市场食品安全规范化建设、文明餐桌食品安全示范街（店）创建等活动，积极培育食品安全示范乡镇（街道）、村（社区）、学校（含幼儿园）、商圈、基地、示范户（店），支持行业协会开展各种创建活动，注重发挥示范单元的引领作用，以点促线带面，推动创建工作不断深化和食品安全水平不断提升。</w:t>
      </w:r>
    </w:p>
    <w:bookmarkEnd w:id="311"/>
    <w:p w14:paraId="137DB1E8">
      <w:pPr>
        <w:pStyle w:val="5"/>
        <w:keepNext w:val="0"/>
        <w:keepLines w:val="0"/>
        <w:spacing w:before="0" w:after="0" w:line="570" w:lineRule="exact"/>
        <w:ind w:firstLine="640" w:firstLineChars="200"/>
        <w:rPr>
          <w:rFonts w:ascii="Times New Roman" w:hAnsi="Times New Roman" w:eastAsia="方正黑体_GBK" w:cs="Times New Roman"/>
          <w:b w:val="0"/>
          <w:bCs w:val="0"/>
        </w:rPr>
      </w:pPr>
      <w:bookmarkStart w:id="315" w:name="_Toc31051"/>
      <w:bookmarkStart w:id="316" w:name="_Toc18358"/>
      <w:bookmarkStart w:id="317" w:name="_Toc18221"/>
      <w:bookmarkStart w:id="318" w:name="_Toc12641_WPSOffice_Level2"/>
      <w:r>
        <w:rPr>
          <w:rFonts w:ascii="Times New Roman" w:hAnsi="Times New Roman" w:eastAsia="方正黑体_GBK" w:cs="Times New Roman"/>
          <w:b w:val="0"/>
          <w:bCs w:val="0"/>
        </w:rPr>
        <w:t>二、市场监管标准化建设</w:t>
      </w:r>
      <w:bookmarkEnd w:id="315"/>
      <w:bookmarkEnd w:id="316"/>
      <w:bookmarkEnd w:id="317"/>
      <w:bookmarkEnd w:id="318"/>
    </w:p>
    <w:p w14:paraId="7DB45A0F">
      <w:pPr>
        <w:spacing w:line="570" w:lineRule="exact"/>
        <w:ind w:firstLine="643" w:firstLineChars="200"/>
        <w:rPr>
          <w:rFonts w:ascii="Times New Roman" w:hAnsi="Times New Roman" w:eastAsia="方正仿宋_GBK" w:cs="Times New Roman"/>
          <w:szCs w:val="32"/>
        </w:rPr>
      </w:pPr>
      <w:r>
        <w:rPr>
          <w:rFonts w:ascii="Times New Roman" w:hAnsi="Times New Roman" w:eastAsia="方正仿宋_GBK" w:cs="Times New Roman"/>
          <w:b/>
          <w:bCs/>
          <w:szCs w:val="32"/>
        </w:rPr>
        <w:t>一是</w:t>
      </w:r>
      <w:r>
        <w:rPr>
          <w:rFonts w:ascii="Times New Roman" w:hAnsi="Times New Roman" w:eastAsia="方正仿宋_GBK" w:cs="Times New Roman"/>
          <w:szCs w:val="32"/>
        </w:rPr>
        <w:t>综合行政执法制式服装和标志管理。深化综合行政执法改革，加强综合行政执法制式服装和标志管理，推进规范文明执法。严格落实配发制式服装和标志的配发范围、标准和相关技术规范。加强综合行政执法队伍建设，督促综合行政执法人员规范穿着制式服装、佩戴标志，严肃仪容仪表及执法风纪。</w:t>
      </w:r>
    </w:p>
    <w:p w14:paraId="0CE53334">
      <w:pPr>
        <w:spacing w:line="570" w:lineRule="exact"/>
        <w:ind w:firstLine="643" w:firstLineChars="200"/>
        <w:rPr>
          <w:rFonts w:ascii="Times New Roman" w:hAnsi="Times New Roman" w:eastAsia="方正仿宋_GBK" w:cs="Times New Roman"/>
          <w:szCs w:val="32"/>
        </w:rPr>
      </w:pPr>
      <w:r>
        <w:rPr>
          <w:rFonts w:ascii="Times New Roman" w:hAnsi="Times New Roman" w:eastAsia="方正仿宋_GBK" w:cs="Times New Roman"/>
          <w:b/>
          <w:bCs/>
          <w:szCs w:val="32"/>
        </w:rPr>
        <w:t>二是</w:t>
      </w:r>
      <w:r>
        <w:rPr>
          <w:rFonts w:ascii="Times New Roman" w:hAnsi="Times New Roman" w:eastAsia="方正仿宋_GBK" w:cs="Times New Roman"/>
          <w:szCs w:val="32"/>
        </w:rPr>
        <w:t>统一市场监督视觉识别系统。规范统一市场监督管理部门视觉识别系统设计和应用，从基础元素及其组合、颜色应用、执法执勤车辆涂装和导向系统设置等方面进行规范。规范应用市场监管部门行政标志、车辆涂装、标准字使用、主体形象标志、图形标志系统、室外导向系统和室内导向系统等公共信息导向系统。</w:t>
      </w:r>
    </w:p>
    <w:p w14:paraId="49D3847C">
      <w:pPr>
        <w:spacing w:line="570" w:lineRule="exact"/>
        <w:ind w:firstLine="640" w:firstLineChars="200"/>
        <w:rPr>
          <w:rFonts w:ascii="Times New Roman" w:hAnsi="Times New Roman" w:eastAsia="方正黑体_GBK" w:cs="Times New Roman"/>
        </w:rPr>
      </w:pPr>
      <w:bookmarkStart w:id="319" w:name="_Toc7656_WPSOffice_Level2"/>
      <w:r>
        <w:rPr>
          <w:rFonts w:ascii="Times New Roman" w:hAnsi="Times New Roman" w:eastAsia="方正黑体_GBK" w:cs="Times New Roman"/>
        </w:rPr>
        <w:t>三、基层市场监管所建设</w:t>
      </w:r>
      <w:bookmarkEnd w:id="319"/>
    </w:p>
    <w:p w14:paraId="132BA2CB">
      <w:pPr>
        <w:spacing w:line="570" w:lineRule="exact"/>
        <w:ind w:firstLine="640" w:firstLineChars="200"/>
        <w:rPr>
          <w:rFonts w:ascii="Times New Roman" w:hAnsi="Times New Roman" w:eastAsia="方正仿宋_GBK" w:cs="Times New Roman"/>
          <w:szCs w:val="32"/>
        </w:rPr>
      </w:pPr>
      <w:r>
        <w:rPr>
          <w:rFonts w:hint="eastAsia" w:ascii="Times New Roman" w:hAnsi="Times New Roman" w:eastAsia="方正仿宋_GBK" w:cs="Times New Roman"/>
          <w:szCs w:val="32"/>
          <w:lang w:eastAsia="zh-CN"/>
        </w:rPr>
        <w:t>“十四五”</w:t>
      </w:r>
      <w:r>
        <w:rPr>
          <w:rFonts w:ascii="Times New Roman" w:hAnsi="Times New Roman" w:eastAsia="方正仿宋_GBK" w:cs="Times New Roman"/>
          <w:szCs w:val="32"/>
        </w:rPr>
        <w:t>期间，进一步加强丰都县市场监督管理基层所建设，通过实施市场监管所标准化建设，厘清县市场监管局和市场监管所基本事权；规范市场监管所业务流程和工作要求；统一市场监管所执法装备、硬件保障和对外服务形象。探索形成市级主管部门统筹指导，县市场监管局组织实施，监管、执法、技术支撑相互衔接的监管体制机制，新建4个基层所（水天坪市场监管所、三元市场监管所、南天湖市场监管所、名山市场监管所）。</w:t>
      </w:r>
    </w:p>
    <w:p w14:paraId="0F2E8FB3">
      <w:pPr>
        <w:spacing w:line="57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县级相关工作部门在制度和政策上对市场监管所标准化建设给予支持，尤其是在人力资源、办公场地和设施设备等方面，加强办公场所功能配备、强化执法装备配置、加强资源配置和能力建设。加强对市场监管基层所的工作指导和业务考核。</w:t>
      </w:r>
    </w:p>
    <w:p w14:paraId="00DBB46D">
      <w:pPr>
        <w:pStyle w:val="4"/>
        <w:keepNext w:val="0"/>
        <w:keepLines w:val="0"/>
        <w:spacing w:line="240" w:lineRule="auto"/>
        <w:ind w:firstLine="640" w:firstLineChars="200"/>
        <w:jc w:val="both"/>
        <w:rPr>
          <w:rStyle w:val="24"/>
          <w:b w:val="0"/>
          <w:bCs w:val="0"/>
          <w:shd w:val="clear" w:color="auto" w:fill="auto"/>
        </w:rPr>
      </w:pPr>
      <w:r>
        <w:rPr>
          <w:rStyle w:val="24"/>
          <w:b w:val="0"/>
          <w:bCs w:val="0"/>
          <w:shd w:val="clear" w:color="auto" w:fill="auto"/>
        </w:rPr>
        <w:br w:type="page"/>
      </w:r>
    </w:p>
    <w:p w14:paraId="27A5FE81">
      <w:pPr>
        <w:pStyle w:val="4"/>
        <w:keepNext w:val="0"/>
        <w:keepLines w:val="0"/>
        <w:spacing w:before="0" w:after="0" w:line="570" w:lineRule="exact"/>
        <w:ind w:left="0"/>
        <w:rPr>
          <w:rStyle w:val="24"/>
          <w:rFonts w:eastAsia="方正小标宋_GBK"/>
          <w:b w:val="0"/>
          <w:bCs w:val="0"/>
          <w:sz w:val="44"/>
          <w:szCs w:val="44"/>
          <w:shd w:val="clear" w:color="auto" w:fill="auto"/>
        </w:rPr>
      </w:pPr>
      <w:bookmarkStart w:id="320" w:name="_Toc29412"/>
      <w:bookmarkStart w:id="321" w:name="_Toc17788"/>
      <w:bookmarkStart w:id="322" w:name="_Toc11869_WPSOffice_Level1"/>
      <w:bookmarkStart w:id="323" w:name="_Toc29293"/>
      <w:r>
        <w:rPr>
          <w:rStyle w:val="24"/>
          <w:rFonts w:eastAsia="方正小标宋_GBK"/>
          <w:b w:val="0"/>
          <w:bCs w:val="0"/>
          <w:sz w:val="44"/>
          <w:szCs w:val="44"/>
          <w:shd w:val="clear" w:color="auto" w:fill="auto"/>
        </w:rPr>
        <w:t>第八部分：强化保障夯实发展基础</w:t>
      </w:r>
      <w:bookmarkEnd w:id="320"/>
      <w:bookmarkEnd w:id="321"/>
      <w:bookmarkEnd w:id="322"/>
      <w:bookmarkEnd w:id="323"/>
    </w:p>
    <w:p w14:paraId="62E051A3">
      <w:pPr>
        <w:pStyle w:val="5"/>
        <w:keepNext w:val="0"/>
        <w:keepLines w:val="0"/>
        <w:spacing w:before="0" w:after="0" w:line="570" w:lineRule="exact"/>
        <w:ind w:firstLine="640" w:firstLineChars="200"/>
        <w:rPr>
          <w:rStyle w:val="24"/>
          <w:rFonts w:ascii="Times New Roman" w:hAnsi="Times New Roman" w:eastAsia="方正黑体_GBK" w:cs="Times New Roman"/>
          <w:b w:val="0"/>
          <w:bCs w:val="0"/>
        </w:rPr>
      </w:pPr>
      <w:bookmarkStart w:id="324" w:name="_Toc24845"/>
    </w:p>
    <w:p w14:paraId="583E20E2">
      <w:pPr>
        <w:pStyle w:val="5"/>
        <w:keepNext w:val="0"/>
        <w:keepLines w:val="0"/>
        <w:spacing w:before="0" w:after="0" w:line="570" w:lineRule="exact"/>
        <w:ind w:firstLine="640" w:firstLineChars="200"/>
        <w:rPr>
          <w:rStyle w:val="24"/>
          <w:rFonts w:ascii="Times New Roman" w:hAnsi="Times New Roman" w:eastAsia="方正黑体_GBK" w:cs="Times New Roman"/>
          <w:b w:val="0"/>
          <w:bCs w:val="0"/>
        </w:rPr>
      </w:pPr>
      <w:bookmarkStart w:id="325" w:name="_Toc12193_WPSOffice_Level2"/>
      <w:bookmarkStart w:id="326" w:name="_Toc19370"/>
      <w:bookmarkStart w:id="327" w:name="_Toc5544"/>
      <w:r>
        <w:rPr>
          <w:rStyle w:val="24"/>
          <w:rFonts w:ascii="Times New Roman" w:hAnsi="Times New Roman" w:eastAsia="方正黑体_GBK" w:cs="Times New Roman"/>
          <w:b w:val="0"/>
          <w:bCs w:val="0"/>
        </w:rPr>
        <w:t>一、健全制度完善机制</w:t>
      </w:r>
      <w:bookmarkEnd w:id="324"/>
      <w:bookmarkEnd w:id="325"/>
      <w:bookmarkEnd w:id="326"/>
      <w:bookmarkEnd w:id="327"/>
    </w:p>
    <w:p w14:paraId="1BE37590">
      <w:pPr>
        <w:spacing w:line="57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健全完善新型监管机制，推动市场监管向纵深发展。</w:t>
      </w:r>
      <w:r>
        <w:rPr>
          <w:rFonts w:ascii="Times New Roman" w:hAnsi="Times New Roman" w:eastAsia="方正仿宋_GBK" w:cs="Times New Roman"/>
          <w:bCs/>
          <w:szCs w:val="32"/>
        </w:rPr>
        <w:t>一是</w:t>
      </w:r>
      <w:r>
        <w:rPr>
          <w:rFonts w:ascii="Times New Roman" w:hAnsi="Times New Roman" w:eastAsia="方正仿宋_GBK" w:cs="Times New Roman"/>
          <w:szCs w:val="32"/>
        </w:rPr>
        <w:t>保障重点项目建设。运用创新性思维，积极探索改革创新，保障重点项目建设落地见效。二是强化责任担当。紧紧围绕市场监管“十四五”主要目标和分解指标，明确时间表、路线图，扎实推进规划的实施。三是强化督查考核。结合年度工作部署和绩效考核要求，将规划目标任务的核心内容和关键指标纳入绩效考核体系。加强对规划实施情况的跟踪问效，建立年度监测、中期评估、总结评估制度。</w:t>
      </w:r>
    </w:p>
    <w:p w14:paraId="6A5F78AE">
      <w:pPr>
        <w:pStyle w:val="5"/>
        <w:keepNext w:val="0"/>
        <w:keepLines w:val="0"/>
        <w:spacing w:before="0" w:after="0" w:line="570" w:lineRule="exact"/>
        <w:ind w:firstLine="640" w:firstLineChars="200"/>
        <w:rPr>
          <w:rStyle w:val="24"/>
          <w:rFonts w:ascii="Times New Roman" w:hAnsi="Times New Roman" w:eastAsia="方正黑体_GBK" w:cs="Times New Roman"/>
          <w:b w:val="0"/>
          <w:bCs w:val="0"/>
        </w:rPr>
      </w:pPr>
      <w:bookmarkStart w:id="328" w:name="_Toc4150"/>
      <w:bookmarkStart w:id="329" w:name="_Toc7416_WPSOffice_Level2"/>
      <w:bookmarkStart w:id="330" w:name="_Toc7649"/>
      <w:bookmarkStart w:id="331" w:name="_Toc3864"/>
      <w:r>
        <w:rPr>
          <w:rStyle w:val="24"/>
          <w:rFonts w:ascii="Times New Roman" w:hAnsi="Times New Roman" w:eastAsia="方正黑体_GBK" w:cs="Times New Roman"/>
          <w:b w:val="0"/>
          <w:bCs w:val="0"/>
        </w:rPr>
        <w:t>二、综合执法改革到位</w:t>
      </w:r>
      <w:bookmarkEnd w:id="328"/>
      <w:bookmarkEnd w:id="329"/>
      <w:bookmarkEnd w:id="330"/>
      <w:bookmarkEnd w:id="331"/>
    </w:p>
    <w:p w14:paraId="55545550">
      <w:pPr>
        <w:spacing w:line="570" w:lineRule="exact"/>
        <w:ind w:firstLine="640" w:firstLineChars="200"/>
        <w:rPr>
          <w:rFonts w:ascii="Times New Roman" w:hAnsi="Times New Roman" w:eastAsia="方正仿宋_GBK" w:cs="Times New Roman"/>
        </w:rPr>
      </w:pPr>
      <w:r>
        <w:rPr>
          <w:rFonts w:ascii="Times New Roman" w:hAnsi="Times New Roman" w:eastAsia="方正仿宋_GBK" w:cs="Times New Roman"/>
        </w:rPr>
        <w:t>持续深化市场监管综合行政执法改革，加强市场监管行政处罚和行政强制事项源头治理，持续清理取消无法律法规规章依据的执法事项，切实解决多头执法、违规执法、执法扰民等问题。完善市场监管综合执法队伍人员编制管理，充分体现综合行政执法特点，切实解决综合执法队伍管理不规范问题。打造业务精湛、秉公执法、人民满意的市场监管综合执法队伍，大幅提升市场监管治理体系和治理能力现代化。</w:t>
      </w:r>
    </w:p>
    <w:p w14:paraId="13CCFDC2">
      <w:pPr>
        <w:pStyle w:val="5"/>
        <w:keepNext w:val="0"/>
        <w:keepLines w:val="0"/>
        <w:spacing w:before="0" w:after="0" w:line="570" w:lineRule="exact"/>
        <w:ind w:firstLine="640" w:firstLineChars="200"/>
        <w:rPr>
          <w:rStyle w:val="24"/>
          <w:rFonts w:ascii="Times New Roman" w:hAnsi="Times New Roman" w:eastAsia="方正黑体_GBK" w:cs="Times New Roman"/>
          <w:b w:val="0"/>
          <w:bCs w:val="0"/>
        </w:rPr>
      </w:pPr>
      <w:bookmarkStart w:id="332" w:name="_Toc13341_WPSOffice_Level2"/>
      <w:bookmarkStart w:id="333" w:name="_Toc1402"/>
      <w:bookmarkStart w:id="334" w:name="_Toc14911"/>
      <w:bookmarkStart w:id="335" w:name="_Toc18689"/>
      <w:r>
        <w:rPr>
          <w:rStyle w:val="24"/>
          <w:rFonts w:ascii="Times New Roman" w:hAnsi="Times New Roman" w:eastAsia="方正黑体_GBK" w:cs="Times New Roman"/>
          <w:b w:val="0"/>
          <w:bCs w:val="0"/>
        </w:rPr>
        <w:t>三、基层队伍能力建设</w:t>
      </w:r>
      <w:bookmarkEnd w:id="332"/>
      <w:bookmarkEnd w:id="333"/>
      <w:bookmarkEnd w:id="334"/>
      <w:bookmarkEnd w:id="335"/>
    </w:p>
    <w:p w14:paraId="018362BB">
      <w:pPr>
        <w:spacing w:line="57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加强市场监管队伍建设，紧紧围绕重庆市市场监督管理局（市、区县、乡镇）三级行政权力和责任事项清单912项事项和11项公共服务清单，健全完善市场监管行政管理和市场监管综合行政执法队伍。引育用结合，选优配强市场监管行政管理和综合执法干部队伍。到</w:t>
      </w:r>
      <w:r>
        <w:rPr>
          <w:rFonts w:hint="eastAsia" w:ascii="Times New Roman" w:hAnsi="Times New Roman" w:eastAsia="方正仿宋_GBK" w:cs="Times New Roman"/>
          <w:szCs w:val="32"/>
          <w:lang w:eastAsia="zh-CN"/>
        </w:rPr>
        <w:t>“十四五”</w:t>
      </w:r>
      <w:r>
        <w:rPr>
          <w:rFonts w:ascii="Times New Roman" w:hAnsi="Times New Roman" w:eastAsia="方正仿宋_GBK" w:cs="Times New Roman"/>
          <w:szCs w:val="32"/>
        </w:rPr>
        <w:t>末期，食品、药品、特种设备、法律等专业人员比例达到50%。为建设高标准市场体系、打造市场化、法治化、国际化营商环境，深入实施质量强县战略，护航丰都经济社会高质量发展、加快建设</w:t>
      </w:r>
      <w:r>
        <w:rPr>
          <w:rFonts w:hint="eastAsia" w:ascii="Times New Roman" w:hAnsi="Times New Roman" w:eastAsia="方正仿宋_GBK" w:cs="Times New Roman"/>
          <w:szCs w:val="32"/>
        </w:rPr>
        <w:t>生态优先、绿色发展</w:t>
      </w:r>
      <w:r>
        <w:rPr>
          <w:rFonts w:ascii="Times New Roman" w:hAnsi="Times New Roman" w:eastAsia="方正仿宋_GBK" w:cs="Times New Roman"/>
          <w:szCs w:val="32"/>
        </w:rPr>
        <w:t>示范区提供坚强组织保障。</w:t>
      </w:r>
    </w:p>
    <w:p w14:paraId="22986F72">
      <w:pPr>
        <w:pStyle w:val="5"/>
        <w:keepNext w:val="0"/>
        <w:keepLines w:val="0"/>
        <w:spacing w:before="0" w:after="0" w:line="570" w:lineRule="exact"/>
        <w:ind w:firstLine="640" w:firstLineChars="200"/>
        <w:rPr>
          <w:rStyle w:val="24"/>
          <w:rFonts w:ascii="Times New Roman" w:hAnsi="Times New Roman" w:eastAsia="方正黑体_GBK" w:cs="Times New Roman"/>
          <w:b w:val="0"/>
          <w:bCs w:val="0"/>
        </w:rPr>
      </w:pPr>
      <w:bookmarkStart w:id="336" w:name="_Toc8836"/>
      <w:bookmarkStart w:id="337" w:name="_Toc15646_WPSOffice_Level2"/>
      <w:bookmarkStart w:id="338" w:name="_Toc23481"/>
      <w:bookmarkStart w:id="339" w:name="_Toc12856"/>
      <w:r>
        <w:rPr>
          <w:rStyle w:val="24"/>
          <w:rFonts w:ascii="Times New Roman" w:hAnsi="Times New Roman" w:eastAsia="方正黑体_GBK" w:cs="Times New Roman"/>
          <w:b w:val="0"/>
          <w:bCs w:val="0"/>
        </w:rPr>
        <w:t>四、加大资金政策投入</w:t>
      </w:r>
      <w:bookmarkEnd w:id="336"/>
      <w:bookmarkEnd w:id="337"/>
      <w:bookmarkEnd w:id="338"/>
      <w:bookmarkEnd w:id="339"/>
    </w:p>
    <w:p w14:paraId="2BFCB5EA">
      <w:pPr>
        <w:spacing w:line="57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加大财政投入，市场监管业务综合保障经费纳入财政预算。重点安排食品、药品、特种设备、产品质量等安全抽检，提高装备水平、提升业务培训，实现车辆、快检、执法装备标准配备。强化食品安全日常监管、检验检测、风险监测、宣传教育以及创建工作经费保障。扩大综合奖补资金池规模，重点用于品牌培育和质量提升、知识产权创造运用等，切实确保丰都县市场监管事业高质量发展。</w:t>
      </w:r>
    </w:p>
    <w:p w14:paraId="0DC1D71D">
      <w:pPr>
        <w:pStyle w:val="8"/>
        <w:rPr>
          <w:rFonts w:eastAsia="方正仿宋_GBK"/>
          <w:szCs w:val="32"/>
        </w:rPr>
      </w:pPr>
    </w:p>
    <w:p w14:paraId="65219690">
      <w:pPr>
        <w:rPr>
          <w:rFonts w:ascii="Times New Roman" w:hAnsi="Times New Roman" w:eastAsia="方正仿宋_GBK" w:cs="Times New Roman"/>
          <w:szCs w:val="32"/>
        </w:rPr>
      </w:pPr>
    </w:p>
    <w:p w14:paraId="16CD8171">
      <w:pPr>
        <w:pStyle w:val="8"/>
        <w:rPr>
          <w:rFonts w:eastAsia="方正仿宋_GBK"/>
          <w:szCs w:val="32"/>
        </w:rPr>
      </w:pPr>
    </w:p>
    <w:p w14:paraId="4075CFAB">
      <w:pPr>
        <w:rPr>
          <w:rFonts w:ascii="Times New Roman" w:hAnsi="Times New Roman" w:eastAsia="方正仿宋_GBK" w:cs="Times New Roman"/>
          <w:szCs w:val="32"/>
        </w:rPr>
      </w:pPr>
    </w:p>
    <w:p w14:paraId="304A37A7">
      <w:pPr>
        <w:pStyle w:val="8"/>
        <w:rPr>
          <w:rFonts w:eastAsia="方正仿宋_GBK"/>
          <w:szCs w:val="32"/>
        </w:rPr>
      </w:pPr>
    </w:p>
    <w:p w14:paraId="4FE94065">
      <w:pPr>
        <w:rPr>
          <w:rFonts w:ascii="Times New Roman" w:hAnsi="Times New Roman" w:eastAsia="方正仿宋_GBK" w:cs="Times New Roman"/>
          <w:szCs w:val="32"/>
        </w:rPr>
      </w:pPr>
    </w:p>
    <w:p w14:paraId="65D13843">
      <w:pPr>
        <w:pStyle w:val="8"/>
        <w:rPr>
          <w:rFonts w:eastAsia="方正仿宋_GBK"/>
          <w:szCs w:val="32"/>
        </w:rPr>
      </w:pPr>
    </w:p>
    <w:p w14:paraId="29E00D38">
      <w:pPr>
        <w:rPr>
          <w:rFonts w:ascii="Times New Roman" w:hAnsi="Times New Roman" w:eastAsia="方正仿宋_GBK" w:cs="Times New Roman"/>
          <w:szCs w:val="32"/>
        </w:rPr>
      </w:pPr>
    </w:p>
    <w:p w14:paraId="55B54E71">
      <w:pPr>
        <w:pStyle w:val="8"/>
        <w:rPr>
          <w:rFonts w:eastAsia="方正仿宋_GBK"/>
          <w:szCs w:val="32"/>
        </w:rPr>
      </w:pPr>
    </w:p>
    <w:p w14:paraId="646036C0">
      <w:pPr>
        <w:rPr>
          <w:rFonts w:ascii="Times New Roman" w:hAnsi="Times New Roman" w:eastAsia="方正仿宋_GBK" w:cs="Times New Roman"/>
          <w:szCs w:val="32"/>
        </w:rPr>
      </w:pPr>
    </w:p>
    <w:p w14:paraId="204CE9A3">
      <w:pPr>
        <w:pStyle w:val="8"/>
        <w:rPr>
          <w:rFonts w:eastAsia="方正仿宋_GBK"/>
          <w:szCs w:val="32"/>
        </w:rPr>
      </w:pPr>
    </w:p>
    <w:p w14:paraId="1086FDFA">
      <w:pPr>
        <w:rPr>
          <w:rFonts w:ascii="Times New Roman" w:hAnsi="Times New Roman" w:eastAsia="方正仿宋_GBK" w:cs="Times New Roman"/>
          <w:szCs w:val="32"/>
        </w:rPr>
      </w:pPr>
    </w:p>
    <w:p w14:paraId="39CB7744">
      <w:pPr>
        <w:pStyle w:val="8"/>
        <w:rPr>
          <w:rFonts w:eastAsia="方正仿宋_GBK"/>
          <w:szCs w:val="32"/>
        </w:rPr>
      </w:pPr>
    </w:p>
    <w:p w14:paraId="43F3732B">
      <w:pPr>
        <w:rPr>
          <w:rFonts w:ascii="Times New Roman" w:hAnsi="Times New Roman" w:eastAsia="方正仿宋_GBK" w:cs="Times New Roman"/>
          <w:szCs w:val="32"/>
        </w:rPr>
      </w:pPr>
    </w:p>
    <w:p w14:paraId="139EF6E1">
      <w:pPr>
        <w:pStyle w:val="8"/>
        <w:rPr>
          <w:rFonts w:eastAsia="方正仿宋_GBK"/>
          <w:szCs w:val="32"/>
        </w:rPr>
      </w:pPr>
    </w:p>
    <w:p w14:paraId="005A44FA">
      <w:pPr>
        <w:rPr>
          <w:rFonts w:ascii="Times New Roman" w:hAnsi="Times New Roman" w:eastAsia="方正仿宋_GBK" w:cs="Times New Roman"/>
          <w:szCs w:val="32"/>
        </w:rPr>
      </w:pPr>
    </w:p>
    <w:p w14:paraId="1DE086DF">
      <w:pPr>
        <w:pStyle w:val="8"/>
        <w:rPr>
          <w:rFonts w:eastAsia="方正仿宋_GBK"/>
          <w:szCs w:val="32"/>
        </w:rPr>
      </w:pPr>
    </w:p>
    <w:p w14:paraId="4C418100">
      <w:pPr>
        <w:rPr>
          <w:rFonts w:ascii="Times New Roman" w:hAnsi="Times New Roman" w:eastAsia="方正仿宋_GBK" w:cs="Times New Roman"/>
          <w:szCs w:val="32"/>
        </w:rPr>
      </w:pPr>
    </w:p>
    <w:p w14:paraId="74EB46E7">
      <w:pPr>
        <w:pStyle w:val="8"/>
        <w:rPr>
          <w:rFonts w:eastAsia="方正仿宋_GBK"/>
          <w:szCs w:val="32"/>
        </w:rPr>
      </w:pPr>
    </w:p>
    <w:p w14:paraId="6DF2E3C1">
      <w:pPr>
        <w:rPr>
          <w:rFonts w:ascii="Times New Roman" w:hAnsi="Times New Roman" w:eastAsia="方正仿宋_GBK" w:cs="Times New Roman"/>
          <w:szCs w:val="32"/>
        </w:rPr>
      </w:pPr>
    </w:p>
    <w:p w14:paraId="3127F126">
      <w:pPr>
        <w:pStyle w:val="8"/>
        <w:rPr>
          <w:rFonts w:eastAsia="方正仿宋_GBK"/>
          <w:szCs w:val="32"/>
        </w:rPr>
      </w:pPr>
    </w:p>
    <w:p w14:paraId="0D4CF9EA">
      <w:pPr>
        <w:rPr>
          <w:rFonts w:ascii="Times New Roman" w:hAnsi="Times New Roman" w:eastAsia="方正仿宋_GBK" w:cs="Times New Roman"/>
          <w:szCs w:val="32"/>
        </w:rPr>
      </w:pPr>
    </w:p>
    <w:p w14:paraId="5C5B789E">
      <w:pPr>
        <w:pStyle w:val="8"/>
        <w:spacing w:line="240" w:lineRule="exact"/>
        <w:rPr>
          <w:rFonts w:eastAsia="方正仿宋_GBK"/>
          <w:szCs w:val="32"/>
        </w:rPr>
      </w:pPr>
    </w:p>
    <w:p w14:paraId="5FA3A7BE">
      <w:pPr>
        <w:spacing w:line="240" w:lineRule="exact"/>
        <w:rPr>
          <w:rFonts w:ascii="Times New Roman" w:hAnsi="Times New Roman" w:eastAsia="方正仿宋_GBK" w:cs="Times New Roman"/>
          <w:szCs w:val="32"/>
        </w:rPr>
      </w:pPr>
    </w:p>
    <w:p w14:paraId="4C9F3F89">
      <w:pPr>
        <w:spacing w:line="240" w:lineRule="exact"/>
        <w:rPr>
          <w:rFonts w:ascii="Times New Roman" w:hAnsi="Times New Roman" w:eastAsia="方正仿宋_GBK" w:cs="Times New Roman"/>
          <w:szCs w:val="32"/>
        </w:rPr>
      </w:pPr>
    </w:p>
    <w:p w14:paraId="5546A81D">
      <w:pPr>
        <w:spacing w:line="240" w:lineRule="exact"/>
        <w:rPr>
          <w:rFonts w:ascii="Times New Roman" w:hAnsi="Times New Roman" w:eastAsia="方正仿宋_GBK" w:cs="Times New Roman"/>
          <w:szCs w:val="32"/>
        </w:rPr>
      </w:pPr>
    </w:p>
    <w:p w14:paraId="2D4B7F3F">
      <w:pPr>
        <w:spacing w:line="240" w:lineRule="exact"/>
        <w:rPr>
          <w:rFonts w:ascii="Times New Roman" w:hAnsi="Times New Roman" w:eastAsia="方正仿宋_GBK" w:cs="Times New Roman"/>
          <w:szCs w:val="32"/>
        </w:rPr>
      </w:pPr>
    </w:p>
    <w:p w14:paraId="0B8ABFBF">
      <w:pPr>
        <w:spacing w:line="240" w:lineRule="exact"/>
        <w:rPr>
          <w:rFonts w:ascii="Times New Roman" w:hAnsi="Times New Roman" w:eastAsia="方正仿宋_GBK" w:cs="Times New Roman"/>
          <w:szCs w:val="32"/>
        </w:rPr>
      </w:pPr>
    </w:p>
    <w:p w14:paraId="5D669BBE">
      <w:pPr>
        <w:spacing w:line="240" w:lineRule="exact"/>
        <w:rPr>
          <w:rFonts w:ascii="Times New Roman" w:hAnsi="Times New Roman" w:eastAsia="方正仿宋_GBK" w:cs="Times New Roman"/>
          <w:szCs w:val="32"/>
        </w:rPr>
      </w:pPr>
    </w:p>
    <w:p w14:paraId="303FEC4A">
      <w:pPr>
        <w:spacing w:line="240" w:lineRule="exact"/>
        <w:rPr>
          <w:rFonts w:ascii="Times New Roman" w:hAnsi="Times New Roman" w:eastAsia="方正仿宋_GBK" w:cs="Times New Roman"/>
          <w:szCs w:val="32"/>
        </w:rPr>
      </w:pPr>
    </w:p>
    <w:p w14:paraId="0D91BEAF">
      <w:pPr>
        <w:pStyle w:val="8"/>
        <w:spacing w:line="240" w:lineRule="exact"/>
        <w:ind w:firstLine="0"/>
        <w:rPr>
          <w:rFonts w:eastAsia="方正仿宋_GBK"/>
          <w:szCs w:val="32"/>
        </w:rPr>
      </w:pPr>
    </w:p>
    <w:p w14:paraId="1B5863DC">
      <w:pPr>
        <w:pStyle w:val="2"/>
        <w:pBdr>
          <w:top w:val="single" w:color="auto" w:sz="4" w:space="1"/>
          <w:bottom w:val="single" w:color="auto" w:sz="4" w:space="1"/>
        </w:pBdr>
        <w:autoSpaceDE/>
        <w:autoSpaceDN/>
        <w:adjustRightInd w:val="0"/>
        <w:snapToGrid w:val="0"/>
        <w:spacing w:line="480" w:lineRule="exact"/>
        <w:ind w:firstLine="280" w:firstLineChars="100"/>
        <w:rPr>
          <w:rFonts w:ascii="Times New Roman" w:hAnsi="Times New Roman"/>
        </w:rPr>
      </w:pPr>
      <w:bookmarkStart w:id="340" w:name="_Toc3986_WPSOffice_Level1"/>
      <w:r>
        <w:rPr>
          <w:rFonts w:ascii="Times New Roman" w:hAnsi="Times New Roman" w:cs="Times New Roman"/>
          <w:sz w:val="28"/>
          <w:szCs w:val="28"/>
        </w:rPr>
        <w:t>丰都县人民政府办公室        2022年</w:t>
      </w:r>
      <w:r>
        <w:rPr>
          <w:rFonts w:hint="eastAsia" w:ascii="Times New Roman" w:hAnsi="Times New Roman" w:cs="Times New Roman"/>
          <w:sz w:val="28"/>
          <w:szCs w:val="28"/>
          <w:lang w:val="en-US"/>
        </w:rPr>
        <w:t>8</w:t>
      </w:r>
      <w:r>
        <w:rPr>
          <w:rFonts w:ascii="Times New Roman" w:hAnsi="Times New Roman" w:cs="Times New Roman"/>
          <w:sz w:val="28"/>
          <w:szCs w:val="28"/>
        </w:rPr>
        <w:t>月</w:t>
      </w:r>
      <w:r>
        <w:rPr>
          <w:rFonts w:hint="eastAsia" w:ascii="Times New Roman" w:hAnsi="Times New Roman" w:cs="Times New Roman"/>
          <w:sz w:val="28"/>
          <w:szCs w:val="28"/>
          <w:lang w:val="en-US"/>
        </w:rPr>
        <w:t>10</w:t>
      </w:r>
      <w:r>
        <w:rPr>
          <w:rFonts w:ascii="Times New Roman" w:hAnsi="Times New Roman" w:cs="Times New Roman"/>
          <w:sz w:val="28"/>
          <w:szCs w:val="28"/>
        </w:rPr>
        <w:t>日印发</w:t>
      </w:r>
      <w:bookmarkEnd w:id="340"/>
    </w:p>
    <w:sectPr>
      <w:footerReference r:id="rId8"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0B4C1">
    <w:pPr>
      <w:pStyle w:val="14"/>
      <w:ind w:right="360" w:firstLine="360"/>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F3C1D">
    <w:pPr>
      <w:pStyle w:val="14"/>
      <w:ind w:right="360"/>
      <w:rPr>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BDF9">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04E05">
    <w:pPr>
      <w:pStyle w:val="14"/>
    </w:pPr>
    <w:r>
      <w:pict>
        <v:shape id="_x0000_s1026" o:spid="_x0000_s1026" o:spt="202" type="#_x0000_t202" style="position:absolute;left:0pt;margin-left:369.3pt;margin-top:0pt;height:144pt;width:144pt;mso-position-horizontal-relative:margin;mso-wrap-style:none;z-index:251660288;mso-width-relative:page;mso-height-relative:page;" filled="f" stroked="f" coordsize="21600,21600" o:gfxdata="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B2RspbVAAAACQEAAA8AAAAA&#10;AAAAAQAgAAAAIgAAAGRycy9kb3ducmV2LnhtbFBLAQIUABQAAAAIAIdO4kD+58ZPwgIAANYFAAAO&#10;AAAAAAAAAAEAIAAAACQBAABkcnMvZTJvRG9jLnhtbFBLBQYAAAAABgAGAFkBAABYBgAAAAA=&#10;">
          <v:path/>
          <v:fill on="f" focussize="0,0"/>
          <v:stroke on="f" weight="0.5pt" joinstyle="miter"/>
          <v:imagedata o:title=""/>
          <o:lock v:ext="edit"/>
          <v:textbox inset="0mm,0mm,0mm,0mm" style="mso-fit-shape-to-text:t;">
            <w:txbxContent>
              <w:p w14:paraId="2CAAADC1">
                <w:pPr>
                  <w:pStyle w:val="14"/>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r>
      <w:pict>
        <v:shape id="_x0000_s1029" o:spid="_x0000_s1029"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6DC180D9">
                <w:pPr>
                  <w:pStyle w:val="14"/>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0E9CD">
    <w:pPr>
      <w:pStyle w:val="14"/>
      <w:ind w:right="360"/>
      <w:rPr>
        <w:sz w:val="28"/>
      </w:rPr>
    </w:pPr>
    <w:r>
      <w:rPr>
        <w:sz w:val="28"/>
      </w:rPr>
      <w:pict>
        <v:shape id="_x0000_s1028" o:spid="_x0000_s1028" o:spt="202" type="#_x0000_t202" style="position:absolute;left:0pt;margin-left:32.5pt;margin-top:0pt;height:144pt;width:144pt;mso-position-horizontal-relative:margin;mso-wrap-style:none;z-index:251661312;mso-width-relative:page;mso-height-relative:page;" filled="f" stroked="f" coordsize="21600,21600" o:gfxdata="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lz2WdNUAAAAHAQAADwAAAAAA&#10;AAABACAAAAAiAAAAZHJzL2Rvd25yZXYueG1sUEsBAhQAFAAAAAgAh07iQJw3J9bBAgAA1gUAAA4A&#10;AAAAAAAAAQAgAAAAJAEAAGRycy9lMm9Eb2MueG1sUEsFBgAAAAAGAAYAWQEAAFcGAAAAAA==&#10;">
          <v:path/>
          <v:fill on="f" focussize="0,0"/>
          <v:stroke on="f" weight="0.5pt" joinstyle="miter"/>
          <v:imagedata o:title=""/>
          <o:lock v:ext="edit"/>
          <v:textbox inset="0mm,0mm,0mm,0mm" style="mso-fit-shape-to-text:t;">
            <w:txbxContent>
              <w:p w14:paraId="45F5CE93">
                <w:pPr>
                  <w:pStyle w:val="14"/>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B731B">
    <w:pPr>
      <w:pStyle w:val="14"/>
    </w:pPr>
    <w:r>
      <w:pict>
        <v:shape id="_x0000_s1027" o:spid="_x0000_s1027" o:spt="202" type="#_x0000_t202" style="position:absolute;left:0pt;margin-left:366.75pt;margin-top:0pt;height:144pt;width:144pt;mso-position-horizontal-relative:margin;mso-wrap-style:none;z-index:251662336;mso-width-relative:page;mso-height-relative:page;" filled="f" stroked="f" coordsize="21600,21600" o:gfxdata="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BP4XzvVAAAACQEAAA8AAAAA&#10;AAAAAQAgAAAAIgAAAGRycy9kb3ducmV2LnhtbFBLAQIUABQAAAAIAIdO4kCRHRegwgIAANYFAAAO&#10;AAAAAAAAAAEAIAAAACQBAABkcnMvZTJvRG9jLnhtbFBLBQYAAAAABgAGAFkBAABYBgAAAAA=&#10;">
          <v:path/>
          <v:fill on="f" focussize="0,0"/>
          <v:stroke on="f" weight="0.5pt" joinstyle="miter"/>
          <v:imagedata o:title=""/>
          <o:lock v:ext="edit"/>
          <v:textbox inset="0mm,0mm,0mm,0mm" style="mso-fit-shape-to-text:t;">
            <w:txbxContent>
              <w:p w14:paraId="37926A18">
                <w:pPr>
                  <w:pStyle w:val="14"/>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456D8E"/>
    <w:multiLevelType w:val="multilevel"/>
    <w:tmpl w:val="7A456D8E"/>
    <w:lvl w:ilvl="0" w:tentative="0">
      <w:start w:val="1"/>
      <w:numFmt w:val="japaneseCounting"/>
      <w:pStyle w:val="6"/>
      <w:lvlText w:val="（%1）"/>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RlMTI0ZmZkNWVkNDk2ZTg4NWYwOTQyMjQxMmY4NGEifQ=="/>
  </w:docVars>
  <w:rsids>
    <w:rsidRoot w:val="00194422"/>
    <w:rsid w:val="0000580B"/>
    <w:rsid w:val="00007ED8"/>
    <w:rsid w:val="000115C8"/>
    <w:rsid w:val="00012FE0"/>
    <w:rsid w:val="00017349"/>
    <w:rsid w:val="00020753"/>
    <w:rsid w:val="00025CA0"/>
    <w:rsid w:val="00031C9A"/>
    <w:rsid w:val="000325CC"/>
    <w:rsid w:val="0003385B"/>
    <w:rsid w:val="00033BCE"/>
    <w:rsid w:val="00037BC6"/>
    <w:rsid w:val="00042EE3"/>
    <w:rsid w:val="00047A68"/>
    <w:rsid w:val="000508F7"/>
    <w:rsid w:val="000520FF"/>
    <w:rsid w:val="00055FC7"/>
    <w:rsid w:val="00056801"/>
    <w:rsid w:val="00060488"/>
    <w:rsid w:val="00060598"/>
    <w:rsid w:val="00060C41"/>
    <w:rsid w:val="00062030"/>
    <w:rsid w:val="00065C92"/>
    <w:rsid w:val="00067C79"/>
    <w:rsid w:val="0007160A"/>
    <w:rsid w:val="00073123"/>
    <w:rsid w:val="0007338D"/>
    <w:rsid w:val="00073635"/>
    <w:rsid w:val="00074B0C"/>
    <w:rsid w:val="000834A7"/>
    <w:rsid w:val="000906A5"/>
    <w:rsid w:val="00093E11"/>
    <w:rsid w:val="000959B4"/>
    <w:rsid w:val="000B2ED9"/>
    <w:rsid w:val="000B404E"/>
    <w:rsid w:val="000B5215"/>
    <w:rsid w:val="000C012A"/>
    <w:rsid w:val="000C79AE"/>
    <w:rsid w:val="000C7A59"/>
    <w:rsid w:val="000D0838"/>
    <w:rsid w:val="000D4C14"/>
    <w:rsid w:val="000D4DB7"/>
    <w:rsid w:val="000D53BE"/>
    <w:rsid w:val="000E0806"/>
    <w:rsid w:val="000E1FF3"/>
    <w:rsid w:val="000E26A3"/>
    <w:rsid w:val="000E3A13"/>
    <w:rsid w:val="000E3D29"/>
    <w:rsid w:val="000E3D98"/>
    <w:rsid w:val="000E48DD"/>
    <w:rsid w:val="000E5B0C"/>
    <w:rsid w:val="000E6F43"/>
    <w:rsid w:val="000F29DB"/>
    <w:rsid w:val="000F50EC"/>
    <w:rsid w:val="000F65F8"/>
    <w:rsid w:val="001017BA"/>
    <w:rsid w:val="00103E11"/>
    <w:rsid w:val="0010593A"/>
    <w:rsid w:val="00105B07"/>
    <w:rsid w:val="00106CCE"/>
    <w:rsid w:val="00106EE2"/>
    <w:rsid w:val="00110467"/>
    <w:rsid w:val="00112C1E"/>
    <w:rsid w:val="00112D98"/>
    <w:rsid w:val="001231F3"/>
    <w:rsid w:val="00127999"/>
    <w:rsid w:val="001304A1"/>
    <w:rsid w:val="00133F2D"/>
    <w:rsid w:val="00135475"/>
    <w:rsid w:val="00136839"/>
    <w:rsid w:val="00137EBE"/>
    <w:rsid w:val="00140B4C"/>
    <w:rsid w:val="0014127B"/>
    <w:rsid w:val="00147406"/>
    <w:rsid w:val="001504EC"/>
    <w:rsid w:val="001508AC"/>
    <w:rsid w:val="00151B3B"/>
    <w:rsid w:val="00152091"/>
    <w:rsid w:val="00156C7C"/>
    <w:rsid w:val="00163FDB"/>
    <w:rsid w:val="001645EB"/>
    <w:rsid w:val="00180411"/>
    <w:rsid w:val="001818B2"/>
    <w:rsid w:val="00190E84"/>
    <w:rsid w:val="00191C0F"/>
    <w:rsid w:val="00192CE0"/>
    <w:rsid w:val="00194422"/>
    <w:rsid w:val="001961D8"/>
    <w:rsid w:val="00196776"/>
    <w:rsid w:val="001A3F5E"/>
    <w:rsid w:val="001A535D"/>
    <w:rsid w:val="001A5BAB"/>
    <w:rsid w:val="001A6C70"/>
    <w:rsid w:val="001A6D27"/>
    <w:rsid w:val="001B109D"/>
    <w:rsid w:val="001B1E2D"/>
    <w:rsid w:val="001B1F44"/>
    <w:rsid w:val="001C240A"/>
    <w:rsid w:val="001C4A27"/>
    <w:rsid w:val="001D08E9"/>
    <w:rsid w:val="001D1F53"/>
    <w:rsid w:val="001D29EF"/>
    <w:rsid w:val="001D39B6"/>
    <w:rsid w:val="001D6EE3"/>
    <w:rsid w:val="001D733B"/>
    <w:rsid w:val="001D7B3D"/>
    <w:rsid w:val="001E261B"/>
    <w:rsid w:val="001E2D8F"/>
    <w:rsid w:val="001E320B"/>
    <w:rsid w:val="001E3A91"/>
    <w:rsid w:val="001E6CFF"/>
    <w:rsid w:val="001F2553"/>
    <w:rsid w:val="001F73AE"/>
    <w:rsid w:val="001F7551"/>
    <w:rsid w:val="00204374"/>
    <w:rsid w:val="00207735"/>
    <w:rsid w:val="00207EA0"/>
    <w:rsid w:val="002125C1"/>
    <w:rsid w:val="00213C9C"/>
    <w:rsid w:val="00215795"/>
    <w:rsid w:val="0021756F"/>
    <w:rsid w:val="0022045E"/>
    <w:rsid w:val="002207E3"/>
    <w:rsid w:val="00220F9C"/>
    <w:rsid w:val="00232D1F"/>
    <w:rsid w:val="00237A37"/>
    <w:rsid w:val="00240F4E"/>
    <w:rsid w:val="002410AA"/>
    <w:rsid w:val="00244CF4"/>
    <w:rsid w:val="00247541"/>
    <w:rsid w:val="00247E4C"/>
    <w:rsid w:val="002514E3"/>
    <w:rsid w:val="00256443"/>
    <w:rsid w:val="00257A52"/>
    <w:rsid w:val="002605AA"/>
    <w:rsid w:val="0026177D"/>
    <w:rsid w:val="00262B6E"/>
    <w:rsid w:val="00263278"/>
    <w:rsid w:val="002722A5"/>
    <w:rsid w:val="0027260E"/>
    <w:rsid w:val="00275623"/>
    <w:rsid w:val="00286629"/>
    <w:rsid w:val="00287E72"/>
    <w:rsid w:val="002918B3"/>
    <w:rsid w:val="00292AE6"/>
    <w:rsid w:val="00294372"/>
    <w:rsid w:val="002954E5"/>
    <w:rsid w:val="002959FD"/>
    <w:rsid w:val="00296E35"/>
    <w:rsid w:val="002A0B6F"/>
    <w:rsid w:val="002A2D40"/>
    <w:rsid w:val="002A703E"/>
    <w:rsid w:val="002B3F8F"/>
    <w:rsid w:val="002B42C1"/>
    <w:rsid w:val="002B7753"/>
    <w:rsid w:val="002C5C9B"/>
    <w:rsid w:val="002D14E7"/>
    <w:rsid w:val="002D4B31"/>
    <w:rsid w:val="002E2189"/>
    <w:rsid w:val="002E2ECE"/>
    <w:rsid w:val="002E5ADB"/>
    <w:rsid w:val="002F1A26"/>
    <w:rsid w:val="002F1A4D"/>
    <w:rsid w:val="002F2FE7"/>
    <w:rsid w:val="002F3B03"/>
    <w:rsid w:val="002F5C9F"/>
    <w:rsid w:val="002F77D4"/>
    <w:rsid w:val="003006BB"/>
    <w:rsid w:val="00304AF6"/>
    <w:rsid w:val="00310026"/>
    <w:rsid w:val="003118E4"/>
    <w:rsid w:val="0031242D"/>
    <w:rsid w:val="00315888"/>
    <w:rsid w:val="00315CD6"/>
    <w:rsid w:val="00320025"/>
    <w:rsid w:val="00320F2F"/>
    <w:rsid w:val="00322A18"/>
    <w:rsid w:val="0032552E"/>
    <w:rsid w:val="00331291"/>
    <w:rsid w:val="00332B20"/>
    <w:rsid w:val="003337E0"/>
    <w:rsid w:val="003344B6"/>
    <w:rsid w:val="00334627"/>
    <w:rsid w:val="00344AF6"/>
    <w:rsid w:val="00346804"/>
    <w:rsid w:val="0034732F"/>
    <w:rsid w:val="00347C6C"/>
    <w:rsid w:val="003518D3"/>
    <w:rsid w:val="00355CAC"/>
    <w:rsid w:val="0035744E"/>
    <w:rsid w:val="003601C4"/>
    <w:rsid w:val="003642FC"/>
    <w:rsid w:val="00365467"/>
    <w:rsid w:val="00366C4B"/>
    <w:rsid w:val="00372BB8"/>
    <w:rsid w:val="0037534E"/>
    <w:rsid w:val="003920B4"/>
    <w:rsid w:val="003949F9"/>
    <w:rsid w:val="00394D52"/>
    <w:rsid w:val="003B1656"/>
    <w:rsid w:val="003C04DE"/>
    <w:rsid w:val="003C3431"/>
    <w:rsid w:val="003C60AD"/>
    <w:rsid w:val="003C77E0"/>
    <w:rsid w:val="003D57FD"/>
    <w:rsid w:val="003D5EB7"/>
    <w:rsid w:val="003D71C8"/>
    <w:rsid w:val="003D744F"/>
    <w:rsid w:val="003D750F"/>
    <w:rsid w:val="003E62F5"/>
    <w:rsid w:val="00401601"/>
    <w:rsid w:val="00403BE5"/>
    <w:rsid w:val="00406459"/>
    <w:rsid w:val="0041063B"/>
    <w:rsid w:val="00411B6C"/>
    <w:rsid w:val="004138D9"/>
    <w:rsid w:val="00416B94"/>
    <w:rsid w:val="00417941"/>
    <w:rsid w:val="00417D75"/>
    <w:rsid w:val="00423FFF"/>
    <w:rsid w:val="00424DCF"/>
    <w:rsid w:val="00425F65"/>
    <w:rsid w:val="00426837"/>
    <w:rsid w:val="00435A7D"/>
    <w:rsid w:val="004421D2"/>
    <w:rsid w:val="00443F92"/>
    <w:rsid w:val="00452AA6"/>
    <w:rsid w:val="00452B23"/>
    <w:rsid w:val="004535B0"/>
    <w:rsid w:val="00455275"/>
    <w:rsid w:val="00455AB0"/>
    <w:rsid w:val="00455B5C"/>
    <w:rsid w:val="00455CCF"/>
    <w:rsid w:val="00455CD8"/>
    <w:rsid w:val="004572C0"/>
    <w:rsid w:val="00462D74"/>
    <w:rsid w:val="00463799"/>
    <w:rsid w:val="00471B23"/>
    <w:rsid w:val="00472C9B"/>
    <w:rsid w:val="00475432"/>
    <w:rsid w:val="00476BC4"/>
    <w:rsid w:val="00476DD3"/>
    <w:rsid w:val="00477F1A"/>
    <w:rsid w:val="00482EC2"/>
    <w:rsid w:val="00483867"/>
    <w:rsid w:val="00494D64"/>
    <w:rsid w:val="00495080"/>
    <w:rsid w:val="00496C7B"/>
    <w:rsid w:val="00497186"/>
    <w:rsid w:val="004A63E6"/>
    <w:rsid w:val="004C2351"/>
    <w:rsid w:val="004C31AC"/>
    <w:rsid w:val="004C51C9"/>
    <w:rsid w:val="004C6BD5"/>
    <w:rsid w:val="004D09D9"/>
    <w:rsid w:val="004D0B19"/>
    <w:rsid w:val="004D0BC4"/>
    <w:rsid w:val="004D0BF9"/>
    <w:rsid w:val="004D13E2"/>
    <w:rsid w:val="004D3316"/>
    <w:rsid w:val="004D4107"/>
    <w:rsid w:val="004D63AB"/>
    <w:rsid w:val="004D67E6"/>
    <w:rsid w:val="004E0B95"/>
    <w:rsid w:val="004E1546"/>
    <w:rsid w:val="004E3A00"/>
    <w:rsid w:val="004E5834"/>
    <w:rsid w:val="004F0DF9"/>
    <w:rsid w:val="00502713"/>
    <w:rsid w:val="00503C13"/>
    <w:rsid w:val="005067EA"/>
    <w:rsid w:val="00507341"/>
    <w:rsid w:val="00514FEF"/>
    <w:rsid w:val="00515ACC"/>
    <w:rsid w:val="00525BA2"/>
    <w:rsid w:val="00525BD1"/>
    <w:rsid w:val="00532B5B"/>
    <w:rsid w:val="00534722"/>
    <w:rsid w:val="00534D3A"/>
    <w:rsid w:val="0053761C"/>
    <w:rsid w:val="005413F1"/>
    <w:rsid w:val="00541BD0"/>
    <w:rsid w:val="00544505"/>
    <w:rsid w:val="005454FE"/>
    <w:rsid w:val="00546D18"/>
    <w:rsid w:val="00547566"/>
    <w:rsid w:val="00551C82"/>
    <w:rsid w:val="00553EC0"/>
    <w:rsid w:val="005610F0"/>
    <w:rsid w:val="005671D6"/>
    <w:rsid w:val="00571D02"/>
    <w:rsid w:val="005724FA"/>
    <w:rsid w:val="00573B80"/>
    <w:rsid w:val="00580C79"/>
    <w:rsid w:val="00584792"/>
    <w:rsid w:val="00584FCF"/>
    <w:rsid w:val="0058549E"/>
    <w:rsid w:val="005860DE"/>
    <w:rsid w:val="00587239"/>
    <w:rsid w:val="0059014C"/>
    <w:rsid w:val="00594AA7"/>
    <w:rsid w:val="00594FA5"/>
    <w:rsid w:val="00595747"/>
    <w:rsid w:val="00596001"/>
    <w:rsid w:val="00597EE1"/>
    <w:rsid w:val="005A0B56"/>
    <w:rsid w:val="005A5A9A"/>
    <w:rsid w:val="005A5F82"/>
    <w:rsid w:val="005B07AD"/>
    <w:rsid w:val="005B142B"/>
    <w:rsid w:val="005B4450"/>
    <w:rsid w:val="005B550E"/>
    <w:rsid w:val="005C0E30"/>
    <w:rsid w:val="005C1086"/>
    <w:rsid w:val="005C5370"/>
    <w:rsid w:val="005C6132"/>
    <w:rsid w:val="005D61A8"/>
    <w:rsid w:val="005D6E08"/>
    <w:rsid w:val="005E1016"/>
    <w:rsid w:val="005E38A3"/>
    <w:rsid w:val="005E4442"/>
    <w:rsid w:val="005F3EB4"/>
    <w:rsid w:val="005F5909"/>
    <w:rsid w:val="0060014F"/>
    <w:rsid w:val="00602EAE"/>
    <w:rsid w:val="00603250"/>
    <w:rsid w:val="00604427"/>
    <w:rsid w:val="006055EB"/>
    <w:rsid w:val="00605D25"/>
    <w:rsid w:val="0060694E"/>
    <w:rsid w:val="0061405D"/>
    <w:rsid w:val="006142A4"/>
    <w:rsid w:val="0061495A"/>
    <w:rsid w:val="00615BC8"/>
    <w:rsid w:val="00623C80"/>
    <w:rsid w:val="006244DB"/>
    <w:rsid w:val="006346D5"/>
    <w:rsid w:val="00637E1E"/>
    <w:rsid w:val="00642C8E"/>
    <w:rsid w:val="00644297"/>
    <w:rsid w:val="00644370"/>
    <w:rsid w:val="0064445A"/>
    <w:rsid w:val="00644EE8"/>
    <w:rsid w:val="0064532B"/>
    <w:rsid w:val="006507AE"/>
    <w:rsid w:val="00651816"/>
    <w:rsid w:val="00652689"/>
    <w:rsid w:val="00657EAF"/>
    <w:rsid w:val="0066084D"/>
    <w:rsid w:val="00667187"/>
    <w:rsid w:val="00671116"/>
    <w:rsid w:val="00671213"/>
    <w:rsid w:val="00673A98"/>
    <w:rsid w:val="00674493"/>
    <w:rsid w:val="006746D4"/>
    <w:rsid w:val="006753DA"/>
    <w:rsid w:val="006756D1"/>
    <w:rsid w:val="00683292"/>
    <w:rsid w:val="0068457B"/>
    <w:rsid w:val="00684592"/>
    <w:rsid w:val="00685A0A"/>
    <w:rsid w:val="0068765F"/>
    <w:rsid w:val="00690574"/>
    <w:rsid w:val="00692569"/>
    <w:rsid w:val="0069445C"/>
    <w:rsid w:val="00697189"/>
    <w:rsid w:val="006A39D6"/>
    <w:rsid w:val="006A5E79"/>
    <w:rsid w:val="006B0501"/>
    <w:rsid w:val="006B2785"/>
    <w:rsid w:val="006B45F2"/>
    <w:rsid w:val="006C59CA"/>
    <w:rsid w:val="006D0B4D"/>
    <w:rsid w:val="006D0D4F"/>
    <w:rsid w:val="006D1B3D"/>
    <w:rsid w:val="006E2A08"/>
    <w:rsid w:val="006E3299"/>
    <w:rsid w:val="006E7C56"/>
    <w:rsid w:val="006F1A51"/>
    <w:rsid w:val="007010BC"/>
    <w:rsid w:val="0070245F"/>
    <w:rsid w:val="00705682"/>
    <w:rsid w:val="007056CD"/>
    <w:rsid w:val="00706A1A"/>
    <w:rsid w:val="00711EC4"/>
    <w:rsid w:val="00712178"/>
    <w:rsid w:val="0071614B"/>
    <w:rsid w:val="00737AC8"/>
    <w:rsid w:val="007400E7"/>
    <w:rsid w:val="00743F1D"/>
    <w:rsid w:val="007441F8"/>
    <w:rsid w:val="00747066"/>
    <w:rsid w:val="00752581"/>
    <w:rsid w:val="007569EB"/>
    <w:rsid w:val="00757BDB"/>
    <w:rsid w:val="00760F9F"/>
    <w:rsid w:val="00762684"/>
    <w:rsid w:val="007648CD"/>
    <w:rsid w:val="007669EC"/>
    <w:rsid w:val="007751B1"/>
    <w:rsid w:val="00780E76"/>
    <w:rsid w:val="007818B4"/>
    <w:rsid w:val="00794E42"/>
    <w:rsid w:val="007A0D48"/>
    <w:rsid w:val="007A12DD"/>
    <w:rsid w:val="007A4207"/>
    <w:rsid w:val="007A5601"/>
    <w:rsid w:val="007A769E"/>
    <w:rsid w:val="007B00B1"/>
    <w:rsid w:val="007B042E"/>
    <w:rsid w:val="007B0D66"/>
    <w:rsid w:val="007B29D1"/>
    <w:rsid w:val="007B33A4"/>
    <w:rsid w:val="007B6FF2"/>
    <w:rsid w:val="007C1EB4"/>
    <w:rsid w:val="007C2946"/>
    <w:rsid w:val="007C4D6C"/>
    <w:rsid w:val="007C6796"/>
    <w:rsid w:val="007D1B23"/>
    <w:rsid w:val="007D3A82"/>
    <w:rsid w:val="007D437F"/>
    <w:rsid w:val="007D46C3"/>
    <w:rsid w:val="007E0547"/>
    <w:rsid w:val="007E12B4"/>
    <w:rsid w:val="007E7FB3"/>
    <w:rsid w:val="007F048A"/>
    <w:rsid w:val="007F7031"/>
    <w:rsid w:val="007F745D"/>
    <w:rsid w:val="00800052"/>
    <w:rsid w:val="00803B2C"/>
    <w:rsid w:val="008104BE"/>
    <w:rsid w:val="008141F4"/>
    <w:rsid w:val="00814EA8"/>
    <w:rsid w:val="008205CA"/>
    <w:rsid w:val="00820A0D"/>
    <w:rsid w:val="0083168E"/>
    <w:rsid w:val="008319E6"/>
    <w:rsid w:val="00831B1A"/>
    <w:rsid w:val="00832353"/>
    <w:rsid w:val="00832413"/>
    <w:rsid w:val="00836EB2"/>
    <w:rsid w:val="0084070A"/>
    <w:rsid w:val="0084402C"/>
    <w:rsid w:val="00845742"/>
    <w:rsid w:val="00845854"/>
    <w:rsid w:val="00847424"/>
    <w:rsid w:val="00847FCA"/>
    <w:rsid w:val="00851902"/>
    <w:rsid w:val="00860B57"/>
    <w:rsid w:val="0086122A"/>
    <w:rsid w:val="00861A8F"/>
    <w:rsid w:val="0086216F"/>
    <w:rsid w:val="00862DC4"/>
    <w:rsid w:val="00862F17"/>
    <w:rsid w:val="00864A4D"/>
    <w:rsid w:val="008756B7"/>
    <w:rsid w:val="008763D4"/>
    <w:rsid w:val="00881D25"/>
    <w:rsid w:val="008855B8"/>
    <w:rsid w:val="008862E1"/>
    <w:rsid w:val="00886ED5"/>
    <w:rsid w:val="0089056F"/>
    <w:rsid w:val="00893DB1"/>
    <w:rsid w:val="00895077"/>
    <w:rsid w:val="0089586A"/>
    <w:rsid w:val="00895C58"/>
    <w:rsid w:val="00897F8A"/>
    <w:rsid w:val="008A102A"/>
    <w:rsid w:val="008A29F2"/>
    <w:rsid w:val="008A4474"/>
    <w:rsid w:val="008B30CF"/>
    <w:rsid w:val="008B5B5D"/>
    <w:rsid w:val="008C5D70"/>
    <w:rsid w:val="008C5DC6"/>
    <w:rsid w:val="008C67F0"/>
    <w:rsid w:val="008D34C2"/>
    <w:rsid w:val="008D6F43"/>
    <w:rsid w:val="008E0927"/>
    <w:rsid w:val="008E1B60"/>
    <w:rsid w:val="008E3D50"/>
    <w:rsid w:val="008E59F4"/>
    <w:rsid w:val="008F02FB"/>
    <w:rsid w:val="008F2724"/>
    <w:rsid w:val="008F5E2C"/>
    <w:rsid w:val="008F7A01"/>
    <w:rsid w:val="00904466"/>
    <w:rsid w:val="009049B9"/>
    <w:rsid w:val="0090652A"/>
    <w:rsid w:val="00907951"/>
    <w:rsid w:val="0091054E"/>
    <w:rsid w:val="00911147"/>
    <w:rsid w:val="00913ABD"/>
    <w:rsid w:val="009145C1"/>
    <w:rsid w:val="00915A8E"/>
    <w:rsid w:val="00923346"/>
    <w:rsid w:val="00925420"/>
    <w:rsid w:val="00925B11"/>
    <w:rsid w:val="009324CD"/>
    <w:rsid w:val="00935F6D"/>
    <w:rsid w:val="009431F0"/>
    <w:rsid w:val="009468AD"/>
    <w:rsid w:val="00947E25"/>
    <w:rsid w:val="00953F65"/>
    <w:rsid w:val="00956C18"/>
    <w:rsid w:val="00960DD8"/>
    <w:rsid w:val="00962000"/>
    <w:rsid w:val="0096366A"/>
    <w:rsid w:val="009655F1"/>
    <w:rsid w:val="0096721F"/>
    <w:rsid w:val="009722F9"/>
    <w:rsid w:val="00973843"/>
    <w:rsid w:val="00973EB8"/>
    <w:rsid w:val="009775E5"/>
    <w:rsid w:val="00984334"/>
    <w:rsid w:val="00991F6E"/>
    <w:rsid w:val="009941E2"/>
    <w:rsid w:val="00995AAD"/>
    <w:rsid w:val="0099745D"/>
    <w:rsid w:val="009A0351"/>
    <w:rsid w:val="009A070C"/>
    <w:rsid w:val="009B39CC"/>
    <w:rsid w:val="009C0281"/>
    <w:rsid w:val="009C0335"/>
    <w:rsid w:val="009C0AE6"/>
    <w:rsid w:val="009C3C2A"/>
    <w:rsid w:val="009C466D"/>
    <w:rsid w:val="009C4C19"/>
    <w:rsid w:val="009C5988"/>
    <w:rsid w:val="009C66E1"/>
    <w:rsid w:val="009D4079"/>
    <w:rsid w:val="009D74C0"/>
    <w:rsid w:val="009E1C9F"/>
    <w:rsid w:val="009E5383"/>
    <w:rsid w:val="009E55A3"/>
    <w:rsid w:val="009E73B8"/>
    <w:rsid w:val="009F40ED"/>
    <w:rsid w:val="009F547D"/>
    <w:rsid w:val="009F5FF1"/>
    <w:rsid w:val="00A05427"/>
    <w:rsid w:val="00A0543C"/>
    <w:rsid w:val="00A05C73"/>
    <w:rsid w:val="00A079D4"/>
    <w:rsid w:val="00A2537A"/>
    <w:rsid w:val="00A361D6"/>
    <w:rsid w:val="00A425D8"/>
    <w:rsid w:val="00A45C37"/>
    <w:rsid w:val="00A53A27"/>
    <w:rsid w:val="00A6372A"/>
    <w:rsid w:val="00A66641"/>
    <w:rsid w:val="00A80E6C"/>
    <w:rsid w:val="00A81010"/>
    <w:rsid w:val="00A8125F"/>
    <w:rsid w:val="00A81CA2"/>
    <w:rsid w:val="00A82155"/>
    <w:rsid w:val="00A82ED5"/>
    <w:rsid w:val="00A84204"/>
    <w:rsid w:val="00A86991"/>
    <w:rsid w:val="00A91702"/>
    <w:rsid w:val="00A92072"/>
    <w:rsid w:val="00A96A65"/>
    <w:rsid w:val="00A96BC1"/>
    <w:rsid w:val="00AA197B"/>
    <w:rsid w:val="00AA49E1"/>
    <w:rsid w:val="00AA5766"/>
    <w:rsid w:val="00AB35F8"/>
    <w:rsid w:val="00AB3B70"/>
    <w:rsid w:val="00AB5BD4"/>
    <w:rsid w:val="00AB773B"/>
    <w:rsid w:val="00AC44A0"/>
    <w:rsid w:val="00AC6189"/>
    <w:rsid w:val="00AD1FF2"/>
    <w:rsid w:val="00AD2742"/>
    <w:rsid w:val="00AD36DA"/>
    <w:rsid w:val="00AD7E7C"/>
    <w:rsid w:val="00AE096D"/>
    <w:rsid w:val="00AE16B2"/>
    <w:rsid w:val="00AE371C"/>
    <w:rsid w:val="00AE4414"/>
    <w:rsid w:val="00AE7C73"/>
    <w:rsid w:val="00AF1956"/>
    <w:rsid w:val="00AF3018"/>
    <w:rsid w:val="00AF557A"/>
    <w:rsid w:val="00AF5A16"/>
    <w:rsid w:val="00AF5D5D"/>
    <w:rsid w:val="00AF629A"/>
    <w:rsid w:val="00B03459"/>
    <w:rsid w:val="00B10EC2"/>
    <w:rsid w:val="00B12824"/>
    <w:rsid w:val="00B157AE"/>
    <w:rsid w:val="00B161CE"/>
    <w:rsid w:val="00B25D82"/>
    <w:rsid w:val="00B25E35"/>
    <w:rsid w:val="00B268E0"/>
    <w:rsid w:val="00B332F6"/>
    <w:rsid w:val="00B33576"/>
    <w:rsid w:val="00B3643D"/>
    <w:rsid w:val="00B36C6F"/>
    <w:rsid w:val="00B412C2"/>
    <w:rsid w:val="00B436CB"/>
    <w:rsid w:val="00B5182C"/>
    <w:rsid w:val="00B52862"/>
    <w:rsid w:val="00B62A29"/>
    <w:rsid w:val="00B64C98"/>
    <w:rsid w:val="00B670BA"/>
    <w:rsid w:val="00B74CA2"/>
    <w:rsid w:val="00B77341"/>
    <w:rsid w:val="00B84C6B"/>
    <w:rsid w:val="00B93E50"/>
    <w:rsid w:val="00B960B2"/>
    <w:rsid w:val="00BA3F62"/>
    <w:rsid w:val="00BB02B9"/>
    <w:rsid w:val="00BB4AA6"/>
    <w:rsid w:val="00BB537F"/>
    <w:rsid w:val="00BC6D24"/>
    <w:rsid w:val="00BD6110"/>
    <w:rsid w:val="00BE0909"/>
    <w:rsid w:val="00BE5FEF"/>
    <w:rsid w:val="00BE678F"/>
    <w:rsid w:val="00BE79B2"/>
    <w:rsid w:val="00BE7F6D"/>
    <w:rsid w:val="00BF020A"/>
    <w:rsid w:val="00BF140C"/>
    <w:rsid w:val="00BF255C"/>
    <w:rsid w:val="00BF4627"/>
    <w:rsid w:val="00C00C29"/>
    <w:rsid w:val="00C057E5"/>
    <w:rsid w:val="00C0773E"/>
    <w:rsid w:val="00C10424"/>
    <w:rsid w:val="00C12ABA"/>
    <w:rsid w:val="00C14F86"/>
    <w:rsid w:val="00C15434"/>
    <w:rsid w:val="00C214B9"/>
    <w:rsid w:val="00C22788"/>
    <w:rsid w:val="00C23DF9"/>
    <w:rsid w:val="00C258AA"/>
    <w:rsid w:val="00C33538"/>
    <w:rsid w:val="00C33BCC"/>
    <w:rsid w:val="00C358AD"/>
    <w:rsid w:val="00C47562"/>
    <w:rsid w:val="00C501D8"/>
    <w:rsid w:val="00C5102E"/>
    <w:rsid w:val="00C54912"/>
    <w:rsid w:val="00C61FC2"/>
    <w:rsid w:val="00C62016"/>
    <w:rsid w:val="00C7440E"/>
    <w:rsid w:val="00C75B61"/>
    <w:rsid w:val="00C75F29"/>
    <w:rsid w:val="00C76656"/>
    <w:rsid w:val="00C773FB"/>
    <w:rsid w:val="00C84660"/>
    <w:rsid w:val="00C85DB1"/>
    <w:rsid w:val="00C86466"/>
    <w:rsid w:val="00C92051"/>
    <w:rsid w:val="00C92C2D"/>
    <w:rsid w:val="00C94250"/>
    <w:rsid w:val="00CA63BC"/>
    <w:rsid w:val="00CB08D0"/>
    <w:rsid w:val="00CB4372"/>
    <w:rsid w:val="00CB7567"/>
    <w:rsid w:val="00CC04C3"/>
    <w:rsid w:val="00CC0F08"/>
    <w:rsid w:val="00CC342E"/>
    <w:rsid w:val="00CC4295"/>
    <w:rsid w:val="00CD1959"/>
    <w:rsid w:val="00CD1981"/>
    <w:rsid w:val="00CD1D4C"/>
    <w:rsid w:val="00CD1DE0"/>
    <w:rsid w:val="00CD5BC0"/>
    <w:rsid w:val="00CE02B7"/>
    <w:rsid w:val="00CE1105"/>
    <w:rsid w:val="00CE15D6"/>
    <w:rsid w:val="00CE1CAE"/>
    <w:rsid w:val="00CE2F68"/>
    <w:rsid w:val="00CE578C"/>
    <w:rsid w:val="00CF37A3"/>
    <w:rsid w:val="00CF52B7"/>
    <w:rsid w:val="00CF7392"/>
    <w:rsid w:val="00D00ECB"/>
    <w:rsid w:val="00D077C0"/>
    <w:rsid w:val="00D07BF1"/>
    <w:rsid w:val="00D159F4"/>
    <w:rsid w:val="00D21298"/>
    <w:rsid w:val="00D21498"/>
    <w:rsid w:val="00D22D0E"/>
    <w:rsid w:val="00D23CEE"/>
    <w:rsid w:val="00D24406"/>
    <w:rsid w:val="00D24451"/>
    <w:rsid w:val="00D25170"/>
    <w:rsid w:val="00D317EA"/>
    <w:rsid w:val="00D34C76"/>
    <w:rsid w:val="00D375C7"/>
    <w:rsid w:val="00D44471"/>
    <w:rsid w:val="00D54E24"/>
    <w:rsid w:val="00D61A96"/>
    <w:rsid w:val="00D6488B"/>
    <w:rsid w:val="00D65C97"/>
    <w:rsid w:val="00D726AC"/>
    <w:rsid w:val="00D72A22"/>
    <w:rsid w:val="00D740B6"/>
    <w:rsid w:val="00D8417B"/>
    <w:rsid w:val="00D91041"/>
    <w:rsid w:val="00D914D6"/>
    <w:rsid w:val="00D92747"/>
    <w:rsid w:val="00D940A3"/>
    <w:rsid w:val="00D9724E"/>
    <w:rsid w:val="00D97640"/>
    <w:rsid w:val="00DA0AEE"/>
    <w:rsid w:val="00DA2DFA"/>
    <w:rsid w:val="00DA43BE"/>
    <w:rsid w:val="00DA7E21"/>
    <w:rsid w:val="00DB15B6"/>
    <w:rsid w:val="00DB6EE9"/>
    <w:rsid w:val="00DB7218"/>
    <w:rsid w:val="00DD06F5"/>
    <w:rsid w:val="00DD251C"/>
    <w:rsid w:val="00DD34A7"/>
    <w:rsid w:val="00DD3A19"/>
    <w:rsid w:val="00DD4D3D"/>
    <w:rsid w:val="00DD6725"/>
    <w:rsid w:val="00DD6BEC"/>
    <w:rsid w:val="00DE212D"/>
    <w:rsid w:val="00DE2C97"/>
    <w:rsid w:val="00DE2CCC"/>
    <w:rsid w:val="00DE3471"/>
    <w:rsid w:val="00DE7D83"/>
    <w:rsid w:val="00DF1D9D"/>
    <w:rsid w:val="00DF43D5"/>
    <w:rsid w:val="00DF57F9"/>
    <w:rsid w:val="00DF7D33"/>
    <w:rsid w:val="00E03C61"/>
    <w:rsid w:val="00E056A4"/>
    <w:rsid w:val="00E07371"/>
    <w:rsid w:val="00E15276"/>
    <w:rsid w:val="00E1746D"/>
    <w:rsid w:val="00E24369"/>
    <w:rsid w:val="00E272F1"/>
    <w:rsid w:val="00E27CF2"/>
    <w:rsid w:val="00E30374"/>
    <w:rsid w:val="00E34EF3"/>
    <w:rsid w:val="00E378BB"/>
    <w:rsid w:val="00E37D27"/>
    <w:rsid w:val="00E5395C"/>
    <w:rsid w:val="00E545FE"/>
    <w:rsid w:val="00E622CE"/>
    <w:rsid w:val="00E73F40"/>
    <w:rsid w:val="00E773BD"/>
    <w:rsid w:val="00E80E26"/>
    <w:rsid w:val="00E81087"/>
    <w:rsid w:val="00E92D98"/>
    <w:rsid w:val="00E936F6"/>
    <w:rsid w:val="00E943E7"/>
    <w:rsid w:val="00EA4403"/>
    <w:rsid w:val="00EA757F"/>
    <w:rsid w:val="00EB0DD0"/>
    <w:rsid w:val="00EB207C"/>
    <w:rsid w:val="00EC18D4"/>
    <w:rsid w:val="00EC1D20"/>
    <w:rsid w:val="00EC5130"/>
    <w:rsid w:val="00EC616B"/>
    <w:rsid w:val="00ED408F"/>
    <w:rsid w:val="00EE198B"/>
    <w:rsid w:val="00EE37D8"/>
    <w:rsid w:val="00EF02ED"/>
    <w:rsid w:val="00EF06FD"/>
    <w:rsid w:val="00EF0E43"/>
    <w:rsid w:val="00EF4D39"/>
    <w:rsid w:val="00EF7CA7"/>
    <w:rsid w:val="00F019B6"/>
    <w:rsid w:val="00F07A1B"/>
    <w:rsid w:val="00F07AF6"/>
    <w:rsid w:val="00F104E5"/>
    <w:rsid w:val="00F20CF8"/>
    <w:rsid w:val="00F2161E"/>
    <w:rsid w:val="00F23398"/>
    <w:rsid w:val="00F24989"/>
    <w:rsid w:val="00F27D64"/>
    <w:rsid w:val="00F31072"/>
    <w:rsid w:val="00F32123"/>
    <w:rsid w:val="00F32BA0"/>
    <w:rsid w:val="00F32BDA"/>
    <w:rsid w:val="00F4275A"/>
    <w:rsid w:val="00F44F0D"/>
    <w:rsid w:val="00F45C28"/>
    <w:rsid w:val="00F4617E"/>
    <w:rsid w:val="00F46981"/>
    <w:rsid w:val="00F53463"/>
    <w:rsid w:val="00F54DFE"/>
    <w:rsid w:val="00F557F3"/>
    <w:rsid w:val="00F5695B"/>
    <w:rsid w:val="00F63ACF"/>
    <w:rsid w:val="00F711E2"/>
    <w:rsid w:val="00F73729"/>
    <w:rsid w:val="00F74612"/>
    <w:rsid w:val="00F826A5"/>
    <w:rsid w:val="00F939ED"/>
    <w:rsid w:val="00F94595"/>
    <w:rsid w:val="00F95FE8"/>
    <w:rsid w:val="00F964F7"/>
    <w:rsid w:val="00FA2D10"/>
    <w:rsid w:val="00FA334A"/>
    <w:rsid w:val="00FA3774"/>
    <w:rsid w:val="00FA3FF2"/>
    <w:rsid w:val="00FA63C3"/>
    <w:rsid w:val="00FB1130"/>
    <w:rsid w:val="00FB22EE"/>
    <w:rsid w:val="00FB345B"/>
    <w:rsid w:val="00FC4981"/>
    <w:rsid w:val="00FC4BD8"/>
    <w:rsid w:val="00FC52DE"/>
    <w:rsid w:val="00FD1F8E"/>
    <w:rsid w:val="00FD57E3"/>
    <w:rsid w:val="00FE4009"/>
    <w:rsid w:val="00FF217F"/>
    <w:rsid w:val="00FF3FE3"/>
    <w:rsid w:val="00FF7AA0"/>
    <w:rsid w:val="011246FE"/>
    <w:rsid w:val="01335861"/>
    <w:rsid w:val="014C0555"/>
    <w:rsid w:val="018C42B7"/>
    <w:rsid w:val="01F517AE"/>
    <w:rsid w:val="02404648"/>
    <w:rsid w:val="028F119A"/>
    <w:rsid w:val="029A4144"/>
    <w:rsid w:val="02ED43BB"/>
    <w:rsid w:val="031620B4"/>
    <w:rsid w:val="03497267"/>
    <w:rsid w:val="03610498"/>
    <w:rsid w:val="03BF47E6"/>
    <w:rsid w:val="04140FE1"/>
    <w:rsid w:val="04330E9D"/>
    <w:rsid w:val="044C6701"/>
    <w:rsid w:val="04873677"/>
    <w:rsid w:val="04B61B0D"/>
    <w:rsid w:val="04E97857"/>
    <w:rsid w:val="052C7AE5"/>
    <w:rsid w:val="052E5F85"/>
    <w:rsid w:val="05495C22"/>
    <w:rsid w:val="05932B17"/>
    <w:rsid w:val="05B43F66"/>
    <w:rsid w:val="05EC2E44"/>
    <w:rsid w:val="062F03BC"/>
    <w:rsid w:val="066B66F3"/>
    <w:rsid w:val="06AC5A3E"/>
    <w:rsid w:val="071A7034"/>
    <w:rsid w:val="073A5452"/>
    <w:rsid w:val="07564A0A"/>
    <w:rsid w:val="077E567F"/>
    <w:rsid w:val="07E8682D"/>
    <w:rsid w:val="08127810"/>
    <w:rsid w:val="08692EAA"/>
    <w:rsid w:val="08880380"/>
    <w:rsid w:val="092A6625"/>
    <w:rsid w:val="093418A3"/>
    <w:rsid w:val="093942F0"/>
    <w:rsid w:val="09972E15"/>
    <w:rsid w:val="09B55849"/>
    <w:rsid w:val="09B976BA"/>
    <w:rsid w:val="0A217B3E"/>
    <w:rsid w:val="0A8D2D47"/>
    <w:rsid w:val="0A9D48ED"/>
    <w:rsid w:val="0AD011C2"/>
    <w:rsid w:val="0AD421CF"/>
    <w:rsid w:val="0AF14FB8"/>
    <w:rsid w:val="0B63174D"/>
    <w:rsid w:val="0B847A53"/>
    <w:rsid w:val="0BE1028B"/>
    <w:rsid w:val="0C08231D"/>
    <w:rsid w:val="0C0E77A3"/>
    <w:rsid w:val="0C3B4C1F"/>
    <w:rsid w:val="0C76592B"/>
    <w:rsid w:val="0C7872C9"/>
    <w:rsid w:val="0C9F2FAB"/>
    <w:rsid w:val="0CBB3D08"/>
    <w:rsid w:val="0CBF78EE"/>
    <w:rsid w:val="0CED49C5"/>
    <w:rsid w:val="0D1E332F"/>
    <w:rsid w:val="0D5200B7"/>
    <w:rsid w:val="0DD33393"/>
    <w:rsid w:val="0DF447F8"/>
    <w:rsid w:val="0E027B64"/>
    <w:rsid w:val="0E0B310A"/>
    <w:rsid w:val="0E8B60F8"/>
    <w:rsid w:val="0EED04C9"/>
    <w:rsid w:val="0FA92C0F"/>
    <w:rsid w:val="10036DD5"/>
    <w:rsid w:val="105D69CF"/>
    <w:rsid w:val="10620FB2"/>
    <w:rsid w:val="106777F6"/>
    <w:rsid w:val="108F3EDC"/>
    <w:rsid w:val="10914AC7"/>
    <w:rsid w:val="111426B7"/>
    <w:rsid w:val="11923819"/>
    <w:rsid w:val="119F10F5"/>
    <w:rsid w:val="11B934FB"/>
    <w:rsid w:val="11E2468C"/>
    <w:rsid w:val="121E2154"/>
    <w:rsid w:val="122B2253"/>
    <w:rsid w:val="127F17A2"/>
    <w:rsid w:val="12B45E4E"/>
    <w:rsid w:val="12DD29E3"/>
    <w:rsid w:val="133771D4"/>
    <w:rsid w:val="13540457"/>
    <w:rsid w:val="1372573F"/>
    <w:rsid w:val="13A06682"/>
    <w:rsid w:val="13AE6BD4"/>
    <w:rsid w:val="13B774C6"/>
    <w:rsid w:val="1446530B"/>
    <w:rsid w:val="144A7654"/>
    <w:rsid w:val="14CD73D2"/>
    <w:rsid w:val="15287D58"/>
    <w:rsid w:val="15627D40"/>
    <w:rsid w:val="156778AC"/>
    <w:rsid w:val="15DD1AE4"/>
    <w:rsid w:val="161E3999"/>
    <w:rsid w:val="168C2A52"/>
    <w:rsid w:val="169C7299"/>
    <w:rsid w:val="169F76D2"/>
    <w:rsid w:val="16A65CB0"/>
    <w:rsid w:val="16B4616E"/>
    <w:rsid w:val="16DE4ABA"/>
    <w:rsid w:val="16E41D36"/>
    <w:rsid w:val="16E6677E"/>
    <w:rsid w:val="16FE0B58"/>
    <w:rsid w:val="17AD7300"/>
    <w:rsid w:val="17C7776B"/>
    <w:rsid w:val="18006698"/>
    <w:rsid w:val="181141F9"/>
    <w:rsid w:val="184F6838"/>
    <w:rsid w:val="185A4D59"/>
    <w:rsid w:val="188F206A"/>
    <w:rsid w:val="18A74EEE"/>
    <w:rsid w:val="18A80D7D"/>
    <w:rsid w:val="18BD1CEA"/>
    <w:rsid w:val="18EB0E4B"/>
    <w:rsid w:val="192952AA"/>
    <w:rsid w:val="193803E2"/>
    <w:rsid w:val="19C47C98"/>
    <w:rsid w:val="19CD13C6"/>
    <w:rsid w:val="19D908C7"/>
    <w:rsid w:val="19EB7BBE"/>
    <w:rsid w:val="19F6519D"/>
    <w:rsid w:val="19F90E16"/>
    <w:rsid w:val="1A0549CB"/>
    <w:rsid w:val="1A2D2334"/>
    <w:rsid w:val="1A7F1090"/>
    <w:rsid w:val="1A916E6F"/>
    <w:rsid w:val="1AB46C08"/>
    <w:rsid w:val="1ADD3677"/>
    <w:rsid w:val="1AF61CBA"/>
    <w:rsid w:val="1B5A3946"/>
    <w:rsid w:val="1C187B5A"/>
    <w:rsid w:val="1C4C3B71"/>
    <w:rsid w:val="1C610B44"/>
    <w:rsid w:val="1C9445A5"/>
    <w:rsid w:val="1C9913EC"/>
    <w:rsid w:val="1CBF0B8F"/>
    <w:rsid w:val="1D104439"/>
    <w:rsid w:val="1D1A6E54"/>
    <w:rsid w:val="1D2A70E3"/>
    <w:rsid w:val="1D5065EA"/>
    <w:rsid w:val="1D5F1AB5"/>
    <w:rsid w:val="1D6C46F5"/>
    <w:rsid w:val="1DA3009A"/>
    <w:rsid w:val="1DDB63A6"/>
    <w:rsid w:val="1E361F99"/>
    <w:rsid w:val="1E854896"/>
    <w:rsid w:val="1EEA5866"/>
    <w:rsid w:val="1EF96978"/>
    <w:rsid w:val="1F0D051B"/>
    <w:rsid w:val="1F551C7A"/>
    <w:rsid w:val="1F7F048E"/>
    <w:rsid w:val="1F8F5C1D"/>
    <w:rsid w:val="1FAF77C1"/>
    <w:rsid w:val="1FDD3BC2"/>
    <w:rsid w:val="1FE42B5D"/>
    <w:rsid w:val="20951F2C"/>
    <w:rsid w:val="209F02CD"/>
    <w:rsid w:val="21480705"/>
    <w:rsid w:val="21B21255"/>
    <w:rsid w:val="222334A6"/>
    <w:rsid w:val="228F4CFA"/>
    <w:rsid w:val="22B35009"/>
    <w:rsid w:val="22D92167"/>
    <w:rsid w:val="22EE7610"/>
    <w:rsid w:val="235D5F16"/>
    <w:rsid w:val="23AC5B1F"/>
    <w:rsid w:val="23B9191A"/>
    <w:rsid w:val="23CE5846"/>
    <w:rsid w:val="2408011B"/>
    <w:rsid w:val="241A5141"/>
    <w:rsid w:val="242B648C"/>
    <w:rsid w:val="243C2FE9"/>
    <w:rsid w:val="245C3549"/>
    <w:rsid w:val="245E520B"/>
    <w:rsid w:val="247A2B9C"/>
    <w:rsid w:val="24870400"/>
    <w:rsid w:val="24A64B49"/>
    <w:rsid w:val="24AF1021"/>
    <w:rsid w:val="24BD5468"/>
    <w:rsid w:val="24C35462"/>
    <w:rsid w:val="24D632BA"/>
    <w:rsid w:val="24D757F9"/>
    <w:rsid w:val="251C58EB"/>
    <w:rsid w:val="253C0BDF"/>
    <w:rsid w:val="25616FCF"/>
    <w:rsid w:val="259A68B8"/>
    <w:rsid w:val="25A97E98"/>
    <w:rsid w:val="26253350"/>
    <w:rsid w:val="267147BC"/>
    <w:rsid w:val="26823E83"/>
    <w:rsid w:val="268D21BF"/>
    <w:rsid w:val="26BB627D"/>
    <w:rsid w:val="27061170"/>
    <w:rsid w:val="271138CD"/>
    <w:rsid w:val="27470D83"/>
    <w:rsid w:val="276E4CCE"/>
    <w:rsid w:val="27DD1C48"/>
    <w:rsid w:val="27ED2771"/>
    <w:rsid w:val="283274F2"/>
    <w:rsid w:val="283A7AB7"/>
    <w:rsid w:val="289039E8"/>
    <w:rsid w:val="28F329DF"/>
    <w:rsid w:val="29176FDF"/>
    <w:rsid w:val="298E5D50"/>
    <w:rsid w:val="29D524A2"/>
    <w:rsid w:val="2AA54BF9"/>
    <w:rsid w:val="2AB04A6F"/>
    <w:rsid w:val="2AC24DC0"/>
    <w:rsid w:val="2AF3328E"/>
    <w:rsid w:val="2B1101A6"/>
    <w:rsid w:val="2B4B2A8E"/>
    <w:rsid w:val="2B4D50F0"/>
    <w:rsid w:val="2BA3136F"/>
    <w:rsid w:val="2BD731A8"/>
    <w:rsid w:val="2BE20E6F"/>
    <w:rsid w:val="2BEB1400"/>
    <w:rsid w:val="2C1B4875"/>
    <w:rsid w:val="2C416438"/>
    <w:rsid w:val="2C657074"/>
    <w:rsid w:val="2C7D5270"/>
    <w:rsid w:val="2CC90FC2"/>
    <w:rsid w:val="2D9974B5"/>
    <w:rsid w:val="2DB84448"/>
    <w:rsid w:val="2DF432DF"/>
    <w:rsid w:val="2DF823FE"/>
    <w:rsid w:val="2E180725"/>
    <w:rsid w:val="2E3E6E56"/>
    <w:rsid w:val="2E4669E6"/>
    <w:rsid w:val="2E7306CD"/>
    <w:rsid w:val="2E9D4DDC"/>
    <w:rsid w:val="2EA15CB6"/>
    <w:rsid w:val="2EF83DF2"/>
    <w:rsid w:val="2F240460"/>
    <w:rsid w:val="2F7E0ECF"/>
    <w:rsid w:val="2FB54F50"/>
    <w:rsid w:val="2FD36F63"/>
    <w:rsid w:val="30530A7B"/>
    <w:rsid w:val="30842053"/>
    <w:rsid w:val="308C0468"/>
    <w:rsid w:val="30B445EC"/>
    <w:rsid w:val="30D1678B"/>
    <w:rsid w:val="30D71A96"/>
    <w:rsid w:val="30D75B88"/>
    <w:rsid w:val="30E24E48"/>
    <w:rsid w:val="31337F00"/>
    <w:rsid w:val="31742709"/>
    <w:rsid w:val="31AD61E1"/>
    <w:rsid w:val="31B802D2"/>
    <w:rsid w:val="31DE097F"/>
    <w:rsid w:val="31E21E05"/>
    <w:rsid w:val="31F122C7"/>
    <w:rsid w:val="322374A4"/>
    <w:rsid w:val="326F5648"/>
    <w:rsid w:val="328C377D"/>
    <w:rsid w:val="329D244D"/>
    <w:rsid w:val="32AE46C6"/>
    <w:rsid w:val="32DA6258"/>
    <w:rsid w:val="331364C8"/>
    <w:rsid w:val="333D1571"/>
    <w:rsid w:val="33C30744"/>
    <w:rsid w:val="33D628E8"/>
    <w:rsid w:val="33D93F7F"/>
    <w:rsid w:val="343E174A"/>
    <w:rsid w:val="34445AE6"/>
    <w:rsid w:val="34745153"/>
    <w:rsid w:val="348E09BC"/>
    <w:rsid w:val="34910644"/>
    <w:rsid w:val="35B7113E"/>
    <w:rsid w:val="35C97A69"/>
    <w:rsid w:val="36A24039"/>
    <w:rsid w:val="371602A1"/>
    <w:rsid w:val="37507492"/>
    <w:rsid w:val="378859F7"/>
    <w:rsid w:val="37B53ED1"/>
    <w:rsid w:val="37BF5E88"/>
    <w:rsid w:val="37C541AA"/>
    <w:rsid w:val="37EA65FD"/>
    <w:rsid w:val="37F44FBF"/>
    <w:rsid w:val="385D7AB1"/>
    <w:rsid w:val="386E3092"/>
    <w:rsid w:val="38D918FA"/>
    <w:rsid w:val="38DB7ECE"/>
    <w:rsid w:val="39092F32"/>
    <w:rsid w:val="39297E6A"/>
    <w:rsid w:val="39947F30"/>
    <w:rsid w:val="3AC87EBA"/>
    <w:rsid w:val="3ADA60F6"/>
    <w:rsid w:val="3AEA002A"/>
    <w:rsid w:val="3AF973B3"/>
    <w:rsid w:val="3B424545"/>
    <w:rsid w:val="3B462B12"/>
    <w:rsid w:val="3B7C2B8D"/>
    <w:rsid w:val="3B9504E8"/>
    <w:rsid w:val="3C6674D2"/>
    <w:rsid w:val="3CA328C5"/>
    <w:rsid w:val="3CB02E32"/>
    <w:rsid w:val="3CB30D53"/>
    <w:rsid w:val="3CD74E47"/>
    <w:rsid w:val="3CE82ECA"/>
    <w:rsid w:val="3CF340DF"/>
    <w:rsid w:val="3D221434"/>
    <w:rsid w:val="3D237044"/>
    <w:rsid w:val="3D273BFE"/>
    <w:rsid w:val="3DA77658"/>
    <w:rsid w:val="3DAE382E"/>
    <w:rsid w:val="3DC814BA"/>
    <w:rsid w:val="3DDE2526"/>
    <w:rsid w:val="3E194CE3"/>
    <w:rsid w:val="3E207F5F"/>
    <w:rsid w:val="3ECA3A84"/>
    <w:rsid w:val="3EF3580B"/>
    <w:rsid w:val="3F66792A"/>
    <w:rsid w:val="3F72477E"/>
    <w:rsid w:val="3FA05CDE"/>
    <w:rsid w:val="3FBF6286"/>
    <w:rsid w:val="4072585D"/>
    <w:rsid w:val="40A24CE5"/>
    <w:rsid w:val="40B12D7B"/>
    <w:rsid w:val="40BD53EA"/>
    <w:rsid w:val="40F007B3"/>
    <w:rsid w:val="40FE6040"/>
    <w:rsid w:val="411F78CA"/>
    <w:rsid w:val="413005CB"/>
    <w:rsid w:val="41C40F15"/>
    <w:rsid w:val="42475B55"/>
    <w:rsid w:val="42747191"/>
    <w:rsid w:val="43415541"/>
    <w:rsid w:val="4383690D"/>
    <w:rsid w:val="44095C00"/>
    <w:rsid w:val="442047C0"/>
    <w:rsid w:val="44296F8C"/>
    <w:rsid w:val="44A16C1D"/>
    <w:rsid w:val="44FB7DD4"/>
    <w:rsid w:val="450F383E"/>
    <w:rsid w:val="452557AF"/>
    <w:rsid w:val="45354013"/>
    <w:rsid w:val="45454B9D"/>
    <w:rsid w:val="458D712D"/>
    <w:rsid w:val="459D1B12"/>
    <w:rsid w:val="45A16A38"/>
    <w:rsid w:val="45DC21AC"/>
    <w:rsid w:val="45F4643C"/>
    <w:rsid w:val="45FA6028"/>
    <w:rsid w:val="46154D3C"/>
    <w:rsid w:val="465D1202"/>
    <w:rsid w:val="46A70154"/>
    <w:rsid w:val="46B04ACA"/>
    <w:rsid w:val="46F3299D"/>
    <w:rsid w:val="46F46AD2"/>
    <w:rsid w:val="4713791A"/>
    <w:rsid w:val="4732546E"/>
    <w:rsid w:val="474A7015"/>
    <w:rsid w:val="474C6208"/>
    <w:rsid w:val="47781BC2"/>
    <w:rsid w:val="479222D7"/>
    <w:rsid w:val="48062A5C"/>
    <w:rsid w:val="482F7D85"/>
    <w:rsid w:val="483D0A61"/>
    <w:rsid w:val="484A4268"/>
    <w:rsid w:val="484F3D42"/>
    <w:rsid w:val="48612EAB"/>
    <w:rsid w:val="488717E9"/>
    <w:rsid w:val="488C2D52"/>
    <w:rsid w:val="4896331F"/>
    <w:rsid w:val="48EF64C1"/>
    <w:rsid w:val="48FC5C6B"/>
    <w:rsid w:val="4905680A"/>
    <w:rsid w:val="490A2483"/>
    <w:rsid w:val="493430C4"/>
    <w:rsid w:val="4959227B"/>
    <w:rsid w:val="496C579A"/>
    <w:rsid w:val="497556A7"/>
    <w:rsid w:val="4A313A99"/>
    <w:rsid w:val="4A902C64"/>
    <w:rsid w:val="4A98555D"/>
    <w:rsid w:val="4AA90B10"/>
    <w:rsid w:val="4ACB0B3B"/>
    <w:rsid w:val="4AD11936"/>
    <w:rsid w:val="4AEE61DE"/>
    <w:rsid w:val="4B742404"/>
    <w:rsid w:val="4C2D0418"/>
    <w:rsid w:val="4C2F2D33"/>
    <w:rsid w:val="4C3568DD"/>
    <w:rsid w:val="4C552819"/>
    <w:rsid w:val="4CA94AC8"/>
    <w:rsid w:val="4D366001"/>
    <w:rsid w:val="4D3A7311"/>
    <w:rsid w:val="4D3D398E"/>
    <w:rsid w:val="4D825906"/>
    <w:rsid w:val="4DA504B5"/>
    <w:rsid w:val="4E081BB2"/>
    <w:rsid w:val="4EEF633A"/>
    <w:rsid w:val="4EF92F35"/>
    <w:rsid w:val="4FD0664B"/>
    <w:rsid w:val="50082A25"/>
    <w:rsid w:val="50340120"/>
    <w:rsid w:val="5034361B"/>
    <w:rsid w:val="503448E2"/>
    <w:rsid w:val="50676AE6"/>
    <w:rsid w:val="506A5549"/>
    <w:rsid w:val="50CB2751"/>
    <w:rsid w:val="50EE6CA2"/>
    <w:rsid w:val="5126684A"/>
    <w:rsid w:val="51596373"/>
    <w:rsid w:val="519952A3"/>
    <w:rsid w:val="51A35BF5"/>
    <w:rsid w:val="51BA0320"/>
    <w:rsid w:val="51BB06F0"/>
    <w:rsid w:val="51CB21D5"/>
    <w:rsid w:val="52597AAE"/>
    <w:rsid w:val="5284026B"/>
    <w:rsid w:val="52C230EB"/>
    <w:rsid w:val="53024A8E"/>
    <w:rsid w:val="533403CE"/>
    <w:rsid w:val="536E67BB"/>
    <w:rsid w:val="5377494B"/>
    <w:rsid w:val="537B26D9"/>
    <w:rsid w:val="53E72C4B"/>
    <w:rsid w:val="54C01AA1"/>
    <w:rsid w:val="54C06ECB"/>
    <w:rsid w:val="54F9130B"/>
    <w:rsid w:val="55195245"/>
    <w:rsid w:val="552C5BF2"/>
    <w:rsid w:val="55596842"/>
    <w:rsid w:val="55E469E6"/>
    <w:rsid w:val="56626DF5"/>
    <w:rsid w:val="56676E7F"/>
    <w:rsid w:val="56955A19"/>
    <w:rsid w:val="569D2637"/>
    <w:rsid w:val="56A11B31"/>
    <w:rsid w:val="56A40920"/>
    <w:rsid w:val="5742757D"/>
    <w:rsid w:val="57664A72"/>
    <w:rsid w:val="577613A7"/>
    <w:rsid w:val="577E052A"/>
    <w:rsid w:val="57911FAB"/>
    <w:rsid w:val="57944DA6"/>
    <w:rsid w:val="57C74E2F"/>
    <w:rsid w:val="57DD4F82"/>
    <w:rsid w:val="58552DEE"/>
    <w:rsid w:val="58741F20"/>
    <w:rsid w:val="58BE27AC"/>
    <w:rsid w:val="58F91324"/>
    <w:rsid w:val="59595BF2"/>
    <w:rsid w:val="59787A41"/>
    <w:rsid w:val="598164A1"/>
    <w:rsid w:val="59887585"/>
    <w:rsid w:val="59904849"/>
    <w:rsid w:val="59D87B63"/>
    <w:rsid w:val="59D9360B"/>
    <w:rsid w:val="59E31900"/>
    <w:rsid w:val="59F842F5"/>
    <w:rsid w:val="5A5C7E20"/>
    <w:rsid w:val="5A830CEB"/>
    <w:rsid w:val="5ACF6A97"/>
    <w:rsid w:val="5B04167C"/>
    <w:rsid w:val="5B165377"/>
    <w:rsid w:val="5B1B4DDD"/>
    <w:rsid w:val="5B1C26C3"/>
    <w:rsid w:val="5B700E29"/>
    <w:rsid w:val="5D2556EA"/>
    <w:rsid w:val="5D6177BA"/>
    <w:rsid w:val="5D852C83"/>
    <w:rsid w:val="5DD25814"/>
    <w:rsid w:val="5DD91846"/>
    <w:rsid w:val="5E2E1C94"/>
    <w:rsid w:val="5E32094E"/>
    <w:rsid w:val="5E3236AA"/>
    <w:rsid w:val="5EA33249"/>
    <w:rsid w:val="5ECC4EB0"/>
    <w:rsid w:val="5F147647"/>
    <w:rsid w:val="5F5F6BC4"/>
    <w:rsid w:val="5F772033"/>
    <w:rsid w:val="5F8033BE"/>
    <w:rsid w:val="5FEC0C5C"/>
    <w:rsid w:val="60656101"/>
    <w:rsid w:val="606B1849"/>
    <w:rsid w:val="607A2DAC"/>
    <w:rsid w:val="60B00A72"/>
    <w:rsid w:val="60EE37D4"/>
    <w:rsid w:val="61123AB2"/>
    <w:rsid w:val="6174710D"/>
    <w:rsid w:val="618418D6"/>
    <w:rsid w:val="61E133E3"/>
    <w:rsid w:val="62055381"/>
    <w:rsid w:val="620B133B"/>
    <w:rsid w:val="62205618"/>
    <w:rsid w:val="629A2BB3"/>
    <w:rsid w:val="62BE5DA5"/>
    <w:rsid w:val="62EE0467"/>
    <w:rsid w:val="631F4D38"/>
    <w:rsid w:val="632B708D"/>
    <w:rsid w:val="63864FA1"/>
    <w:rsid w:val="63D732A3"/>
    <w:rsid w:val="63DF79F5"/>
    <w:rsid w:val="63E532F2"/>
    <w:rsid w:val="63FB18D0"/>
    <w:rsid w:val="64907864"/>
    <w:rsid w:val="64AB2B3B"/>
    <w:rsid w:val="64C307FE"/>
    <w:rsid w:val="654C7BEB"/>
    <w:rsid w:val="655A2EAD"/>
    <w:rsid w:val="658D448B"/>
    <w:rsid w:val="65A97633"/>
    <w:rsid w:val="65D15F62"/>
    <w:rsid w:val="65F23597"/>
    <w:rsid w:val="661927A1"/>
    <w:rsid w:val="66277B85"/>
    <w:rsid w:val="6688759B"/>
    <w:rsid w:val="66D76A70"/>
    <w:rsid w:val="66E36F1F"/>
    <w:rsid w:val="66FD005D"/>
    <w:rsid w:val="675B2367"/>
    <w:rsid w:val="67711CC4"/>
    <w:rsid w:val="67CD52F6"/>
    <w:rsid w:val="67F6441B"/>
    <w:rsid w:val="68701D28"/>
    <w:rsid w:val="68B05C2C"/>
    <w:rsid w:val="68B1520A"/>
    <w:rsid w:val="69577B55"/>
    <w:rsid w:val="696E52E2"/>
    <w:rsid w:val="69870A8A"/>
    <w:rsid w:val="69914923"/>
    <w:rsid w:val="69A611BE"/>
    <w:rsid w:val="69C54CEB"/>
    <w:rsid w:val="6A6E0D18"/>
    <w:rsid w:val="6A6F5B7A"/>
    <w:rsid w:val="6A7F5997"/>
    <w:rsid w:val="6ACC3BE4"/>
    <w:rsid w:val="6ACD66F9"/>
    <w:rsid w:val="6AE53E49"/>
    <w:rsid w:val="6AEC2E18"/>
    <w:rsid w:val="6B0D7135"/>
    <w:rsid w:val="6B296FC9"/>
    <w:rsid w:val="6B3360C2"/>
    <w:rsid w:val="6B581ED5"/>
    <w:rsid w:val="6B732AAD"/>
    <w:rsid w:val="6B797227"/>
    <w:rsid w:val="6BDB15AD"/>
    <w:rsid w:val="6BE561A6"/>
    <w:rsid w:val="6BFA0A86"/>
    <w:rsid w:val="6C206B6B"/>
    <w:rsid w:val="6C5618E6"/>
    <w:rsid w:val="6C614105"/>
    <w:rsid w:val="6C9607E9"/>
    <w:rsid w:val="6C9E218C"/>
    <w:rsid w:val="6CE81C09"/>
    <w:rsid w:val="6CFE165C"/>
    <w:rsid w:val="6D016837"/>
    <w:rsid w:val="6D0E3FAE"/>
    <w:rsid w:val="6D3E660C"/>
    <w:rsid w:val="6D62419B"/>
    <w:rsid w:val="6D8145DE"/>
    <w:rsid w:val="6DD814E3"/>
    <w:rsid w:val="6E0757FC"/>
    <w:rsid w:val="6E082B59"/>
    <w:rsid w:val="6E63239B"/>
    <w:rsid w:val="6E84536D"/>
    <w:rsid w:val="6EA1508C"/>
    <w:rsid w:val="6EDD5C40"/>
    <w:rsid w:val="6EE04DFE"/>
    <w:rsid w:val="6F7862DC"/>
    <w:rsid w:val="6FB1614C"/>
    <w:rsid w:val="702B71E2"/>
    <w:rsid w:val="70C257D7"/>
    <w:rsid w:val="70E76A79"/>
    <w:rsid w:val="70EA2452"/>
    <w:rsid w:val="712706EE"/>
    <w:rsid w:val="712D49E9"/>
    <w:rsid w:val="716D7CB9"/>
    <w:rsid w:val="72141CB1"/>
    <w:rsid w:val="721770AC"/>
    <w:rsid w:val="721E29E2"/>
    <w:rsid w:val="722E5493"/>
    <w:rsid w:val="723A0C8C"/>
    <w:rsid w:val="72A6100B"/>
    <w:rsid w:val="72AD7715"/>
    <w:rsid w:val="72EA5645"/>
    <w:rsid w:val="72F46B1C"/>
    <w:rsid w:val="73400A7E"/>
    <w:rsid w:val="7371464D"/>
    <w:rsid w:val="737954EF"/>
    <w:rsid w:val="737F2FB3"/>
    <w:rsid w:val="73AD1CA2"/>
    <w:rsid w:val="73B61925"/>
    <w:rsid w:val="741525CE"/>
    <w:rsid w:val="74160CDF"/>
    <w:rsid w:val="741815DE"/>
    <w:rsid w:val="74265E70"/>
    <w:rsid w:val="744A3B37"/>
    <w:rsid w:val="74775A1F"/>
    <w:rsid w:val="74D5597C"/>
    <w:rsid w:val="75174E0B"/>
    <w:rsid w:val="758004E6"/>
    <w:rsid w:val="75885769"/>
    <w:rsid w:val="75C43CD9"/>
    <w:rsid w:val="75D83DF4"/>
    <w:rsid w:val="76662F4A"/>
    <w:rsid w:val="76E64B11"/>
    <w:rsid w:val="76F823CD"/>
    <w:rsid w:val="77256798"/>
    <w:rsid w:val="77484264"/>
    <w:rsid w:val="775D14E7"/>
    <w:rsid w:val="77C13728"/>
    <w:rsid w:val="77D12FA5"/>
    <w:rsid w:val="7855188E"/>
    <w:rsid w:val="78A728E5"/>
    <w:rsid w:val="78C81F63"/>
    <w:rsid w:val="794200B8"/>
    <w:rsid w:val="796C3CF7"/>
    <w:rsid w:val="797B0929"/>
    <w:rsid w:val="797C0054"/>
    <w:rsid w:val="79A41AF5"/>
    <w:rsid w:val="79D32DBE"/>
    <w:rsid w:val="79F82FF5"/>
    <w:rsid w:val="79F909CB"/>
    <w:rsid w:val="7A443F45"/>
    <w:rsid w:val="7A86040E"/>
    <w:rsid w:val="7A985B2B"/>
    <w:rsid w:val="7AFE6B08"/>
    <w:rsid w:val="7B4F1EC5"/>
    <w:rsid w:val="7B7101CF"/>
    <w:rsid w:val="7B7C0704"/>
    <w:rsid w:val="7BDC10B2"/>
    <w:rsid w:val="7C78763E"/>
    <w:rsid w:val="7C9B19AA"/>
    <w:rsid w:val="7CA96397"/>
    <w:rsid w:val="7CC805DC"/>
    <w:rsid w:val="7D192AAE"/>
    <w:rsid w:val="7D3E372B"/>
    <w:rsid w:val="7D686F39"/>
    <w:rsid w:val="7DAE0C7C"/>
    <w:rsid w:val="7DD83F8D"/>
    <w:rsid w:val="7DDF4CF6"/>
    <w:rsid w:val="7DFB05B1"/>
    <w:rsid w:val="7E4076A9"/>
    <w:rsid w:val="7E437985"/>
    <w:rsid w:val="7ED55E2F"/>
    <w:rsid w:val="7F2208E9"/>
    <w:rsid w:val="7F373CAF"/>
    <w:rsid w:val="7F8807AC"/>
    <w:rsid w:val="7FC524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4">
    <w:name w:val="heading 1"/>
    <w:basedOn w:val="1"/>
    <w:next w:val="1"/>
    <w:link w:val="30"/>
    <w:autoRedefine/>
    <w:qFormat/>
    <w:uiPriority w:val="9"/>
    <w:pPr>
      <w:keepNext/>
      <w:keepLines/>
      <w:spacing w:before="340" w:after="330" w:line="578" w:lineRule="auto"/>
      <w:ind w:left="660"/>
      <w:jc w:val="center"/>
      <w:outlineLvl w:val="0"/>
    </w:pPr>
    <w:rPr>
      <w:rFonts w:ascii="Times New Roman" w:hAnsi="Times New Roman" w:eastAsia="黑体" w:cs="Times New Roman"/>
      <w:bCs/>
      <w:kern w:val="44"/>
      <w:szCs w:val="32"/>
      <w:shd w:val="clear" w:color="auto" w:fill="FFFFFF"/>
    </w:rPr>
  </w:style>
  <w:style w:type="paragraph" w:styleId="5">
    <w:name w:val="heading 2"/>
    <w:basedOn w:val="1"/>
    <w:next w:val="1"/>
    <w:link w:val="32"/>
    <w:autoRedefine/>
    <w:unhideWhenUsed/>
    <w:qFormat/>
    <w:uiPriority w:val="9"/>
    <w:pPr>
      <w:keepNext/>
      <w:keepLines/>
      <w:spacing w:before="260" w:after="260" w:line="416" w:lineRule="auto"/>
      <w:outlineLvl w:val="1"/>
    </w:pPr>
    <w:rPr>
      <w:rFonts w:asciiTheme="majorHAnsi" w:hAnsiTheme="majorHAnsi" w:cstheme="majorBidi"/>
      <w:b/>
      <w:bCs/>
      <w:szCs w:val="32"/>
    </w:rPr>
  </w:style>
  <w:style w:type="paragraph" w:styleId="6">
    <w:name w:val="heading 3"/>
    <w:basedOn w:val="1"/>
    <w:next w:val="1"/>
    <w:link w:val="29"/>
    <w:autoRedefine/>
    <w:qFormat/>
    <w:uiPriority w:val="9"/>
    <w:pPr>
      <w:numPr>
        <w:ilvl w:val="0"/>
        <w:numId w:val="1"/>
      </w:numPr>
      <w:outlineLvl w:val="2"/>
    </w:pPr>
    <w:rPr>
      <w:rFonts w:ascii="Times New Roman" w:hAnsi="Times New Roman" w:cs="Times New Roman"/>
    </w:rPr>
  </w:style>
  <w:style w:type="paragraph" w:styleId="7">
    <w:name w:val="heading 4"/>
    <w:basedOn w:val="1"/>
    <w:next w:val="1"/>
    <w:qFormat/>
    <w:uiPriority w:val="0"/>
    <w:pPr>
      <w:keepNext/>
      <w:keepLines/>
      <w:spacing w:before="280" w:after="290" w:line="372" w:lineRule="auto"/>
      <w:outlineLvl w:val="3"/>
    </w:pPr>
    <w:rPr>
      <w:rFonts w:ascii="Arial" w:hAnsi="Arial" w:eastAsia="黑体"/>
      <w:sz w:val="28"/>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41"/>
    <w:autoRedefine/>
    <w:qFormat/>
    <w:uiPriority w:val="1"/>
    <w:pPr>
      <w:autoSpaceDE w:val="0"/>
      <w:autoSpaceDN w:val="0"/>
      <w:jc w:val="left"/>
    </w:pPr>
    <w:rPr>
      <w:rFonts w:ascii="方正仿宋_GBK" w:hAnsi="方正仿宋_GBK" w:eastAsia="方正仿宋_GBK" w:cs="方正仿宋_GBK"/>
      <w:kern w:val="0"/>
      <w:szCs w:val="32"/>
      <w:lang w:val="zh-CN" w:bidi="zh-CN"/>
    </w:rPr>
  </w:style>
  <w:style w:type="paragraph" w:customStyle="1" w:styleId="3">
    <w:name w:val="默认"/>
    <w:autoRedefine/>
    <w:qFormat/>
    <w:uiPriority w:val="0"/>
    <w:rPr>
      <w:rFonts w:ascii="Helvetica" w:hAnsi="Helvetica" w:eastAsia="Helvetica" w:cs="Times New Roman"/>
      <w:color w:val="000000"/>
      <w:sz w:val="22"/>
      <w:szCs w:val="22"/>
      <w:lang w:val="en-US" w:eastAsia="zh-CN" w:bidi="ar-SA"/>
    </w:rPr>
  </w:style>
  <w:style w:type="paragraph" w:styleId="8">
    <w:name w:val="Normal Indent"/>
    <w:basedOn w:val="1"/>
    <w:next w:val="1"/>
    <w:autoRedefine/>
    <w:qFormat/>
    <w:uiPriority w:val="0"/>
    <w:pPr>
      <w:ind w:firstLine="420"/>
    </w:pPr>
    <w:rPr>
      <w:rFonts w:ascii="Times New Roman" w:hAnsi="Times New Roman" w:eastAsia="宋体" w:cs="Times New Roman"/>
    </w:rPr>
  </w:style>
  <w:style w:type="paragraph" w:styleId="9">
    <w:name w:val="Document Map"/>
    <w:basedOn w:val="1"/>
    <w:link w:val="40"/>
    <w:autoRedefine/>
    <w:semiHidden/>
    <w:unhideWhenUsed/>
    <w:qFormat/>
    <w:uiPriority w:val="99"/>
    <w:rPr>
      <w:rFonts w:ascii="宋体" w:eastAsia="宋体"/>
      <w:sz w:val="18"/>
      <w:szCs w:val="18"/>
    </w:rPr>
  </w:style>
  <w:style w:type="paragraph" w:styleId="10">
    <w:name w:val="annotation text"/>
    <w:basedOn w:val="1"/>
    <w:link w:val="35"/>
    <w:autoRedefine/>
    <w:qFormat/>
    <w:uiPriority w:val="0"/>
    <w:pPr>
      <w:jc w:val="left"/>
    </w:pPr>
    <w:rPr>
      <w:rFonts w:ascii="Calibri" w:hAnsi="Calibri" w:eastAsia="宋体" w:cs="Times New Roman"/>
      <w:sz w:val="21"/>
      <w:szCs w:val="24"/>
    </w:rPr>
  </w:style>
  <w:style w:type="paragraph" w:styleId="11">
    <w:name w:val="toc 5"/>
    <w:basedOn w:val="1"/>
    <w:next w:val="1"/>
    <w:autoRedefine/>
    <w:semiHidden/>
    <w:unhideWhenUsed/>
    <w:qFormat/>
    <w:uiPriority w:val="39"/>
    <w:pPr>
      <w:ind w:left="1680" w:leftChars="800"/>
    </w:pPr>
  </w:style>
  <w:style w:type="paragraph" w:styleId="12">
    <w:name w:val="toc 3"/>
    <w:basedOn w:val="1"/>
    <w:next w:val="1"/>
    <w:autoRedefine/>
    <w:unhideWhenUsed/>
    <w:qFormat/>
    <w:uiPriority w:val="39"/>
    <w:pPr>
      <w:ind w:left="840" w:leftChars="400"/>
    </w:pPr>
  </w:style>
  <w:style w:type="paragraph" w:styleId="13">
    <w:name w:val="Balloon Text"/>
    <w:basedOn w:val="1"/>
    <w:link w:val="37"/>
    <w:autoRedefine/>
    <w:semiHidden/>
    <w:unhideWhenUsed/>
    <w:qFormat/>
    <w:uiPriority w:val="99"/>
    <w:rPr>
      <w:sz w:val="18"/>
      <w:szCs w:val="18"/>
    </w:rPr>
  </w:style>
  <w:style w:type="paragraph" w:styleId="14">
    <w:name w:val="footer"/>
    <w:basedOn w:val="1"/>
    <w:link w:val="34"/>
    <w:autoRedefine/>
    <w:unhideWhenUsed/>
    <w:qFormat/>
    <w:uiPriority w:val="99"/>
    <w:pPr>
      <w:tabs>
        <w:tab w:val="center" w:pos="4153"/>
        <w:tab w:val="right" w:pos="8306"/>
      </w:tabs>
      <w:snapToGrid w:val="0"/>
      <w:jc w:val="center"/>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toc 2"/>
    <w:basedOn w:val="1"/>
    <w:next w:val="1"/>
    <w:autoRedefine/>
    <w:unhideWhenUsed/>
    <w:qFormat/>
    <w:uiPriority w:val="39"/>
    <w:pPr>
      <w:ind w:left="420" w:leftChars="200"/>
    </w:pPr>
  </w:style>
  <w:style w:type="paragraph" w:styleId="18">
    <w:name w:val="Body Text 2"/>
    <w:basedOn w:val="1"/>
    <w:autoRedefine/>
    <w:qFormat/>
    <w:uiPriority w:val="0"/>
    <w:pPr>
      <w:spacing w:after="120" w:line="480" w:lineRule="auto"/>
    </w:pPr>
  </w:style>
  <w:style w:type="paragraph" w:styleId="19">
    <w:name w:val="Normal (Web)"/>
    <w:basedOn w:val="1"/>
    <w:autoRedefine/>
    <w:semiHidden/>
    <w:unhideWhenUsed/>
    <w:qFormat/>
    <w:uiPriority w:val="99"/>
    <w:pPr>
      <w:spacing w:beforeAutospacing="1" w:afterAutospacing="1"/>
      <w:jc w:val="left"/>
    </w:pPr>
    <w:rPr>
      <w:rFonts w:cs="Times New Roman"/>
      <w:kern w:val="0"/>
      <w:sz w:val="24"/>
    </w:rPr>
  </w:style>
  <w:style w:type="paragraph" w:styleId="20">
    <w:name w:val="annotation subject"/>
    <w:basedOn w:val="10"/>
    <w:next w:val="10"/>
    <w:link w:val="38"/>
    <w:autoRedefine/>
    <w:semiHidden/>
    <w:unhideWhenUsed/>
    <w:qFormat/>
    <w:uiPriority w:val="99"/>
    <w:rPr>
      <w:rFonts w:eastAsia="仿宋_GB2312" w:asciiTheme="minorHAnsi" w:hAnsiTheme="minorHAnsi" w:cstheme="minorBidi"/>
      <w:b/>
      <w:bCs/>
      <w:sz w:val="32"/>
      <w:szCs w:val="22"/>
    </w:rPr>
  </w:style>
  <w:style w:type="table" w:styleId="22">
    <w:name w:val="Table Grid"/>
    <w:basedOn w:val="2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bCs/>
    </w:rPr>
  </w:style>
  <w:style w:type="character" w:styleId="25">
    <w:name w:val="page number"/>
    <w:basedOn w:val="23"/>
    <w:autoRedefine/>
    <w:qFormat/>
    <w:uiPriority w:val="0"/>
  </w:style>
  <w:style w:type="character" w:styleId="26">
    <w:name w:val="FollowedHyperlink"/>
    <w:basedOn w:val="23"/>
    <w:autoRedefine/>
    <w:semiHidden/>
    <w:unhideWhenUsed/>
    <w:qFormat/>
    <w:uiPriority w:val="99"/>
    <w:rPr>
      <w:color w:val="800080" w:themeColor="followedHyperlink"/>
      <w:u w:val="single"/>
    </w:rPr>
  </w:style>
  <w:style w:type="character" w:styleId="27">
    <w:name w:val="Hyperlink"/>
    <w:basedOn w:val="23"/>
    <w:unhideWhenUsed/>
    <w:qFormat/>
    <w:uiPriority w:val="99"/>
    <w:rPr>
      <w:color w:val="004080"/>
      <w:u w:val="single"/>
    </w:rPr>
  </w:style>
  <w:style w:type="character" w:styleId="28">
    <w:name w:val="annotation reference"/>
    <w:basedOn w:val="23"/>
    <w:qFormat/>
    <w:uiPriority w:val="0"/>
    <w:rPr>
      <w:sz w:val="21"/>
      <w:szCs w:val="21"/>
    </w:rPr>
  </w:style>
  <w:style w:type="character" w:customStyle="1" w:styleId="29">
    <w:name w:val="标题 3 字符"/>
    <w:basedOn w:val="23"/>
    <w:link w:val="6"/>
    <w:autoRedefine/>
    <w:qFormat/>
    <w:uiPriority w:val="9"/>
    <w:rPr>
      <w:rFonts w:ascii="Times New Roman" w:hAnsi="Times New Roman" w:eastAsia="仿宋_GB2312" w:cs="Times New Roman"/>
      <w:sz w:val="32"/>
      <w:szCs w:val="32"/>
    </w:rPr>
  </w:style>
  <w:style w:type="character" w:customStyle="1" w:styleId="30">
    <w:name w:val="标题 1 字符"/>
    <w:basedOn w:val="23"/>
    <w:link w:val="4"/>
    <w:autoRedefine/>
    <w:qFormat/>
    <w:uiPriority w:val="9"/>
    <w:rPr>
      <w:rFonts w:ascii="Times New Roman" w:hAnsi="Times New Roman" w:eastAsia="黑体" w:cs="Times New Roman"/>
      <w:bCs/>
      <w:kern w:val="44"/>
      <w:sz w:val="32"/>
      <w:szCs w:val="32"/>
    </w:rPr>
  </w:style>
  <w:style w:type="paragraph" w:styleId="31">
    <w:name w:val="List Paragraph"/>
    <w:basedOn w:val="1"/>
    <w:autoRedefine/>
    <w:qFormat/>
    <w:uiPriority w:val="34"/>
    <w:pPr>
      <w:ind w:firstLine="420" w:firstLineChars="200"/>
    </w:pPr>
  </w:style>
  <w:style w:type="character" w:customStyle="1" w:styleId="32">
    <w:name w:val="标题 2 字符"/>
    <w:basedOn w:val="23"/>
    <w:link w:val="5"/>
    <w:autoRedefine/>
    <w:qFormat/>
    <w:uiPriority w:val="9"/>
    <w:rPr>
      <w:rFonts w:eastAsia="仿宋_GB2312" w:asciiTheme="majorHAnsi" w:hAnsiTheme="majorHAnsi" w:cstheme="majorBidi"/>
      <w:b/>
      <w:bCs/>
      <w:sz w:val="32"/>
      <w:szCs w:val="32"/>
    </w:rPr>
  </w:style>
  <w:style w:type="character" w:customStyle="1" w:styleId="33">
    <w:name w:val="页眉 字符"/>
    <w:basedOn w:val="23"/>
    <w:link w:val="15"/>
    <w:autoRedefine/>
    <w:qFormat/>
    <w:uiPriority w:val="99"/>
    <w:rPr>
      <w:rFonts w:eastAsia="仿宋_GB2312"/>
      <w:sz w:val="18"/>
      <w:szCs w:val="18"/>
    </w:rPr>
  </w:style>
  <w:style w:type="character" w:customStyle="1" w:styleId="34">
    <w:name w:val="页脚 字符"/>
    <w:basedOn w:val="23"/>
    <w:link w:val="14"/>
    <w:autoRedefine/>
    <w:qFormat/>
    <w:uiPriority w:val="99"/>
    <w:rPr>
      <w:rFonts w:eastAsia="仿宋_GB2312"/>
      <w:sz w:val="18"/>
      <w:szCs w:val="18"/>
    </w:rPr>
  </w:style>
  <w:style w:type="character" w:customStyle="1" w:styleId="35">
    <w:name w:val="批注文字 字符"/>
    <w:basedOn w:val="23"/>
    <w:link w:val="10"/>
    <w:autoRedefine/>
    <w:qFormat/>
    <w:uiPriority w:val="0"/>
    <w:rPr>
      <w:rFonts w:ascii="Calibri" w:hAnsi="Calibri" w:eastAsia="宋体" w:cs="Times New Roman"/>
      <w:szCs w:val="24"/>
    </w:rPr>
  </w:style>
  <w:style w:type="character" w:customStyle="1" w:styleId="36">
    <w:name w:val="批注文字 Char1"/>
    <w:basedOn w:val="23"/>
    <w:autoRedefine/>
    <w:semiHidden/>
    <w:qFormat/>
    <w:uiPriority w:val="99"/>
    <w:rPr>
      <w:rFonts w:eastAsia="仿宋_GB2312"/>
      <w:sz w:val="32"/>
    </w:rPr>
  </w:style>
  <w:style w:type="character" w:customStyle="1" w:styleId="37">
    <w:name w:val="批注框文本 字符"/>
    <w:basedOn w:val="23"/>
    <w:link w:val="13"/>
    <w:autoRedefine/>
    <w:semiHidden/>
    <w:qFormat/>
    <w:uiPriority w:val="99"/>
    <w:rPr>
      <w:rFonts w:eastAsia="仿宋_GB2312"/>
      <w:sz w:val="18"/>
      <w:szCs w:val="18"/>
    </w:rPr>
  </w:style>
  <w:style w:type="character" w:customStyle="1" w:styleId="38">
    <w:name w:val="批注主题 字符"/>
    <w:basedOn w:val="35"/>
    <w:link w:val="20"/>
    <w:autoRedefine/>
    <w:semiHidden/>
    <w:qFormat/>
    <w:uiPriority w:val="99"/>
    <w:rPr>
      <w:rFonts w:ascii="Calibri" w:hAnsi="Calibri" w:eastAsia="仿宋_GB2312" w:cs="Times New Roman"/>
      <w:b/>
      <w:bCs/>
      <w:sz w:val="32"/>
      <w:szCs w:val="24"/>
    </w:rPr>
  </w:style>
  <w:style w:type="paragraph" w:customStyle="1" w:styleId="39">
    <w:name w:val="TOC 标题1"/>
    <w:basedOn w:val="4"/>
    <w:next w:val="1"/>
    <w:autoRedefine/>
    <w:unhideWhenUsed/>
    <w:qFormat/>
    <w:uiPriority w:val="39"/>
    <w:pPr>
      <w:widowControl/>
      <w:spacing w:before="480" w:after="0" w:line="276" w:lineRule="auto"/>
      <w:ind w:left="0"/>
      <w:outlineLvl w:val="9"/>
    </w:pPr>
    <w:rPr>
      <w:rFonts w:asciiTheme="majorHAnsi" w:hAnsiTheme="majorHAnsi" w:eastAsiaTheme="majorEastAsia" w:cstheme="majorBidi"/>
      <w:b/>
      <w:color w:val="366091" w:themeColor="accent1" w:themeShade="BF"/>
      <w:kern w:val="0"/>
      <w:sz w:val="28"/>
      <w:szCs w:val="28"/>
      <w:shd w:val="clear" w:color="auto" w:fill="auto"/>
    </w:rPr>
  </w:style>
  <w:style w:type="character" w:customStyle="1" w:styleId="40">
    <w:name w:val="文档结构图 字符"/>
    <w:basedOn w:val="23"/>
    <w:link w:val="9"/>
    <w:autoRedefine/>
    <w:semiHidden/>
    <w:qFormat/>
    <w:uiPriority w:val="99"/>
    <w:rPr>
      <w:rFonts w:ascii="宋体" w:eastAsia="宋体"/>
      <w:sz w:val="18"/>
      <w:szCs w:val="18"/>
    </w:rPr>
  </w:style>
  <w:style w:type="character" w:customStyle="1" w:styleId="41">
    <w:name w:val="正文文本 字符"/>
    <w:basedOn w:val="23"/>
    <w:link w:val="2"/>
    <w:autoRedefine/>
    <w:qFormat/>
    <w:uiPriority w:val="1"/>
    <w:rPr>
      <w:rFonts w:ascii="方正仿宋_GBK" w:hAnsi="方正仿宋_GBK" w:eastAsia="方正仿宋_GBK" w:cs="方正仿宋_GBK"/>
      <w:sz w:val="32"/>
      <w:szCs w:val="32"/>
      <w:lang w:val="zh-CN" w:bidi="zh-CN"/>
    </w:rPr>
  </w:style>
  <w:style w:type="character" w:customStyle="1" w:styleId="42">
    <w:name w:val="NormalCharacter"/>
    <w:semiHidden/>
    <w:qFormat/>
    <w:uiPriority w:val="99"/>
  </w:style>
  <w:style w:type="paragraph" w:customStyle="1" w:styleId="43">
    <w:name w:val="WPSOffice手动目录 1"/>
    <w:qFormat/>
    <w:uiPriority w:val="0"/>
    <w:rPr>
      <w:rFonts w:ascii="Calibri" w:hAnsi="Calibri" w:eastAsia="宋体" w:cs="Times New Roman"/>
      <w:lang w:val="en-US" w:eastAsia="zh-CN" w:bidi="ar-SA"/>
    </w:rPr>
  </w:style>
  <w:style w:type="paragraph" w:customStyle="1" w:styleId="44">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45">
    <w:name w:val="WPSOffice手动目录 3"/>
    <w:autoRedefine/>
    <w:qFormat/>
    <w:uiPriority w:val="0"/>
    <w:pPr>
      <w:ind w:left="400" w:leftChars="400"/>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11642</Words>
  <Characters>11927</Characters>
  <Lines>207</Lines>
  <Paragraphs>58</Paragraphs>
  <TotalTime>15</TotalTime>
  <ScaleCrop>false</ScaleCrop>
  <LinksUpToDate>false</LinksUpToDate>
  <CharactersWithSpaces>12071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2021-08-05T08:01:00Z</dcterms:created>
  <dc:creator>Administrator</dc:creator>
  <cp:lastModifiedBy>温星星</cp:lastModifiedBy>
  <cp:lastPrinted>2022-08-10T14:43:00Z</cp:lastPrinted>
  <dcterms:modified xsi:type="dcterms:W3CDTF">2024-12-25T09:53:04Z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SaveFontToCloudKey">
    <vt:lpwstr>22873419_btnclosed</vt:lpwstr>
  </property>
  <property fmtid="{D5CDD505-2E9C-101B-9397-08002B2CF9AE}" pid="4" name="ICV">
    <vt:lpwstr>0D56F972E4534FB988996BD3B2928DD9</vt:lpwstr>
  </property>
  <property fmtid="{D5CDD505-2E9C-101B-9397-08002B2CF9AE}" pid="5" name="KSOTemplateDocerSaveRecord">
    <vt:lpwstr>eyJoZGlkIjoiZDRlMTI0ZmZkNWVkNDk2ZTg4NWYwOTQyMjQxMmY4NGEiLCJ1c2VySWQiOiIxMzIzODcwMDMzIn0=</vt:lpwstr>
  </property>
</Properties>
</file>